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000" w:firstRow="0" w:lastRow="0" w:firstColumn="0" w:lastColumn="0" w:noHBand="0" w:noVBand="0"/>
      </w:tblPr>
      <w:tblGrid>
        <w:gridCol w:w="3406"/>
        <w:gridCol w:w="5666"/>
      </w:tblGrid>
      <w:tr w:rsidR="00EC01A0" w:rsidRPr="00ED5E38" w14:paraId="2C128A77" w14:textId="77777777" w:rsidTr="00582C1D">
        <w:trPr>
          <w:trHeight w:val="851"/>
        </w:trPr>
        <w:tc>
          <w:tcPr>
            <w:tcW w:w="1877" w:type="pct"/>
          </w:tcPr>
          <w:p w14:paraId="51738A83" w14:textId="77777777" w:rsidR="00EC01A0" w:rsidRPr="00ED5E38" w:rsidRDefault="00EC01A0" w:rsidP="00582C1D">
            <w:pPr>
              <w:pStyle w:val="NoSpacing"/>
              <w:jc w:val="center"/>
              <w:rPr>
                <w:b/>
                <w:noProof/>
                <w:color w:val="000000" w:themeColor="text1"/>
                <w:sz w:val="26"/>
                <w:szCs w:val="26"/>
                <w:lang w:val="vi-VN"/>
              </w:rPr>
            </w:pPr>
            <w:r w:rsidRPr="00ED5E38">
              <w:rPr>
                <w:b/>
                <w:noProof/>
                <w:color w:val="000000" w:themeColor="text1"/>
                <w:sz w:val="26"/>
                <w:szCs w:val="26"/>
                <w:lang w:val="vi-VN"/>
              </w:rPr>
              <w:t>BỘ CÔNG THƯƠNG</w:t>
            </w:r>
          </w:p>
          <w:p w14:paraId="5895A598" w14:textId="77777777" w:rsidR="00EC01A0" w:rsidRPr="00ED5E38" w:rsidRDefault="00EC01A0" w:rsidP="00582C1D">
            <w:pPr>
              <w:jc w:val="center"/>
              <w:rPr>
                <w:b/>
                <w:noProof/>
                <w:color w:val="000000" w:themeColor="text1"/>
                <w:sz w:val="26"/>
                <w:szCs w:val="26"/>
                <w:lang w:val="vi-VN"/>
              </w:rPr>
            </w:pPr>
            <w:r w:rsidRPr="00ED5E38">
              <w:rPr>
                <w:b/>
                <w:noProof/>
                <w:color w:val="000000" w:themeColor="text1"/>
                <w:sz w:val="26"/>
                <w:szCs w:val="26"/>
              </w:rPr>
              <mc:AlternateContent>
                <mc:Choice Requires="wps">
                  <w:drawing>
                    <wp:anchor distT="0" distB="0" distL="114300" distR="114300" simplePos="0" relativeHeight="251659264" behindDoc="0" locked="0" layoutInCell="1" allowOverlap="1" wp14:anchorId="539F1384" wp14:editId="18BC8679">
                      <wp:simplePos x="0" y="0"/>
                      <wp:positionH relativeFrom="column">
                        <wp:posOffset>406400</wp:posOffset>
                      </wp:positionH>
                      <wp:positionV relativeFrom="paragraph">
                        <wp:posOffset>55245</wp:posOffset>
                      </wp:positionV>
                      <wp:extent cx="1104900" cy="0"/>
                      <wp:effectExtent l="0" t="0" r="0" b="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E0549BA" id="_x0000_t32" coordsize="21600,21600" o:spt="32" o:oned="t" path="m,l21600,21600e" filled="f">
                      <v:path arrowok="t" fillok="f" o:connecttype="none"/>
                      <o:lock v:ext="edit" shapetype="t"/>
                    </v:shapetype>
                    <v:shape id="AutoShape 3" o:spid="_x0000_s1026" type="#_x0000_t32" style="position:absolute;margin-left:32pt;margin-top:4.35pt;width:8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">
                      <o:lock v:ext="edit" shapetype="f"/>
                    </v:shape>
                  </w:pict>
                </mc:Fallback>
              </mc:AlternateContent>
            </w:r>
          </w:p>
        </w:tc>
        <w:tc>
          <w:tcPr>
            <w:tcW w:w="3123" w:type="pct"/>
          </w:tcPr>
          <w:p w14:paraId="7FFEA888" w14:textId="03AA207D" w:rsidR="00EC01A0" w:rsidRPr="00ED5E38" w:rsidRDefault="00EC01A0" w:rsidP="00582C1D">
            <w:pPr>
              <w:jc w:val="center"/>
              <w:rPr>
                <w:b/>
                <w:noProof/>
                <w:color w:val="000000" w:themeColor="text1"/>
                <w:sz w:val="26"/>
                <w:szCs w:val="26"/>
                <w:lang w:val="vi-VN"/>
              </w:rPr>
            </w:pPr>
            <w:r w:rsidRPr="00ED5E38">
              <w:rPr>
                <w:b/>
                <w:noProof/>
                <w:color w:val="000000" w:themeColor="text1"/>
                <w:sz w:val="26"/>
                <w:szCs w:val="26"/>
                <w:lang w:val="vi-VN"/>
              </w:rPr>
              <w:t>CỘNG H</w:t>
            </w:r>
            <w:r w:rsidR="0091405F" w:rsidRPr="0091405F">
              <w:rPr>
                <w:b/>
                <w:noProof/>
                <w:color w:val="000000" w:themeColor="text1"/>
                <w:sz w:val="26"/>
                <w:szCs w:val="26"/>
                <w:lang w:val="vi-VN"/>
              </w:rPr>
              <w:t>ÒA</w:t>
            </w:r>
            <w:r w:rsidRPr="00ED5E38">
              <w:rPr>
                <w:b/>
                <w:noProof/>
                <w:color w:val="000000" w:themeColor="text1"/>
                <w:sz w:val="26"/>
                <w:szCs w:val="26"/>
                <w:lang w:val="vi-VN"/>
              </w:rPr>
              <w:t xml:space="preserve"> XÃ HỘI CHỦ NGHĨA VIỆT NAM</w:t>
            </w:r>
          </w:p>
          <w:p w14:paraId="67947452" w14:textId="77777777" w:rsidR="00EC01A0" w:rsidRPr="00ED5E38" w:rsidRDefault="00EC01A0" w:rsidP="00582C1D">
            <w:pPr>
              <w:jc w:val="center"/>
              <w:rPr>
                <w:b/>
                <w:noProof/>
                <w:color w:val="000000" w:themeColor="text1"/>
                <w:lang w:val="vi-VN"/>
              </w:rPr>
            </w:pPr>
            <w:r w:rsidRPr="00ED5E38">
              <w:rPr>
                <w:b/>
                <w:noProof/>
                <w:color w:val="000000" w:themeColor="text1"/>
                <w:lang w:val="vi-VN"/>
              </w:rPr>
              <w:t>Độc lập - Tự do - Hạnh phúc</w:t>
            </w:r>
          </w:p>
          <w:p w14:paraId="453F6500" w14:textId="77777777" w:rsidR="00EC01A0" w:rsidRPr="00ED5E38" w:rsidRDefault="00EC01A0" w:rsidP="00582C1D">
            <w:pPr>
              <w:jc w:val="center"/>
              <w:rPr>
                <w:noProof/>
                <w:color w:val="000000" w:themeColor="text1"/>
                <w:sz w:val="26"/>
                <w:szCs w:val="26"/>
                <w:lang w:val="vi-VN"/>
              </w:rPr>
            </w:pPr>
            <w:r w:rsidRPr="00ED5E38">
              <w:rPr>
                <w:b/>
                <w:noProof/>
                <w:color w:val="000000" w:themeColor="text1"/>
                <w:sz w:val="26"/>
                <w:szCs w:val="26"/>
              </w:rPr>
              <mc:AlternateContent>
                <mc:Choice Requires="wps">
                  <w:drawing>
                    <wp:anchor distT="0" distB="0" distL="114300" distR="114300" simplePos="0" relativeHeight="251660288" behindDoc="0" locked="0" layoutInCell="1" allowOverlap="1" wp14:anchorId="137F896E" wp14:editId="2E334BD3">
                      <wp:simplePos x="0" y="0"/>
                      <wp:positionH relativeFrom="column">
                        <wp:posOffset>1026578</wp:posOffset>
                      </wp:positionH>
                      <wp:positionV relativeFrom="paragraph">
                        <wp:posOffset>59616</wp:posOffset>
                      </wp:positionV>
                      <wp:extent cx="1761490" cy="0"/>
                      <wp:effectExtent l="0" t="0" r="381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61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99C2A43" id="AutoShape 2" o:spid="_x0000_s1026" type="#_x0000_t32" style="position:absolute;margin-left:80.85pt;margin-top:4.7pt;width:138.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">
                      <o:lock v:ext="edit" shapetype="f"/>
                    </v:shape>
                  </w:pict>
                </mc:Fallback>
              </mc:AlternateContent>
            </w:r>
          </w:p>
        </w:tc>
      </w:tr>
      <w:tr w:rsidR="00EC01A0" w:rsidRPr="00ED5E38" w14:paraId="5E8FF461" w14:textId="77777777" w:rsidTr="00582C1D">
        <w:trPr>
          <w:trHeight w:val="513"/>
        </w:trPr>
        <w:tc>
          <w:tcPr>
            <w:tcW w:w="1877" w:type="pct"/>
          </w:tcPr>
          <w:p w14:paraId="5E56CC6C" w14:textId="0371F248" w:rsidR="00EC01A0" w:rsidRPr="00ED5E38" w:rsidRDefault="00EC01A0" w:rsidP="00582C1D">
            <w:pPr>
              <w:jc w:val="center"/>
              <w:rPr>
                <w:noProof/>
                <w:color w:val="000000" w:themeColor="text1"/>
                <w:sz w:val="26"/>
                <w:szCs w:val="26"/>
                <w:vertAlign w:val="superscript"/>
                <w:lang w:val="vi-VN"/>
              </w:rPr>
            </w:pPr>
            <w:r w:rsidRPr="00ED5E38">
              <w:rPr>
                <w:noProof/>
                <w:color w:val="000000" w:themeColor="text1"/>
                <w:sz w:val="26"/>
                <w:szCs w:val="26"/>
                <w:lang w:val="vi-VN"/>
              </w:rPr>
              <w:t xml:space="preserve">Số:  </w:t>
            </w:r>
            <w:r w:rsidRPr="00ED5E38">
              <w:rPr>
                <w:b/>
                <w:noProof/>
                <w:color w:val="000000" w:themeColor="text1"/>
                <w:sz w:val="26"/>
                <w:szCs w:val="26"/>
                <w:lang w:val="vi-VN"/>
              </w:rPr>
              <w:t xml:space="preserve"> </w:t>
            </w:r>
            <w:r w:rsidR="00CF7C57">
              <w:rPr>
                <w:b/>
                <w:noProof/>
                <w:color w:val="000000" w:themeColor="text1"/>
                <w:sz w:val="26"/>
                <w:szCs w:val="26"/>
              </w:rPr>
              <w:t>54</w:t>
            </w:r>
            <w:r w:rsidRPr="00ED5E38">
              <w:rPr>
                <w:b/>
                <w:noProof/>
                <w:color w:val="000000" w:themeColor="text1"/>
                <w:sz w:val="26"/>
                <w:szCs w:val="26"/>
                <w:lang w:val="vi-VN"/>
              </w:rPr>
              <w:t xml:space="preserve"> </w:t>
            </w:r>
            <w:r w:rsidRPr="00ED5E38">
              <w:rPr>
                <w:noProof/>
                <w:color w:val="000000" w:themeColor="text1"/>
                <w:sz w:val="26"/>
                <w:szCs w:val="26"/>
                <w:lang w:val="vi-VN"/>
              </w:rPr>
              <w:t xml:space="preserve">  /BC-BCT</w:t>
            </w:r>
          </w:p>
          <w:p w14:paraId="42ED393B" w14:textId="77777777" w:rsidR="00EC01A0" w:rsidRPr="00ED5E38" w:rsidRDefault="00EC01A0" w:rsidP="00582C1D">
            <w:pPr>
              <w:jc w:val="center"/>
              <w:rPr>
                <w:noProof/>
                <w:color w:val="000000" w:themeColor="text1"/>
                <w:sz w:val="26"/>
                <w:szCs w:val="26"/>
                <w:lang w:val="vi-VN"/>
              </w:rPr>
            </w:pPr>
          </w:p>
        </w:tc>
        <w:tc>
          <w:tcPr>
            <w:tcW w:w="3123" w:type="pct"/>
          </w:tcPr>
          <w:p w14:paraId="21B958CA" w14:textId="161B175E" w:rsidR="00EC01A0" w:rsidRPr="00ED5E38" w:rsidRDefault="00CF7C57" w:rsidP="00CF7C57">
            <w:pPr>
              <w:jc w:val="center"/>
              <w:rPr>
                <w:b/>
                <w:noProof/>
                <w:color w:val="000000" w:themeColor="text1"/>
                <w:sz w:val="26"/>
                <w:szCs w:val="26"/>
                <w:lang w:val="vi-VN"/>
              </w:rPr>
            </w:pPr>
            <w:r>
              <w:rPr>
                <w:i/>
                <w:noProof/>
                <w:color w:val="000000" w:themeColor="text1"/>
                <w:sz w:val="26"/>
                <w:szCs w:val="26"/>
                <w:lang w:val="vi-VN"/>
              </w:rPr>
              <w:t xml:space="preserve">Hà Nội, ngày  </w:t>
            </w:r>
            <w:r>
              <w:rPr>
                <w:i/>
                <w:noProof/>
                <w:color w:val="000000" w:themeColor="text1"/>
                <w:sz w:val="26"/>
                <w:szCs w:val="26"/>
              </w:rPr>
              <w:t>13</w:t>
            </w:r>
            <w:r w:rsidR="00EC01A0" w:rsidRPr="00ED5E38">
              <w:rPr>
                <w:i/>
                <w:noProof/>
                <w:color w:val="000000" w:themeColor="text1"/>
                <w:sz w:val="26"/>
                <w:szCs w:val="26"/>
                <w:lang w:val="vi-VN"/>
              </w:rPr>
              <w:t xml:space="preserve"> tháng  </w:t>
            </w:r>
            <w:r>
              <w:rPr>
                <w:i/>
                <w:noProof/>
                <w:color w:val="000000" w:themeColor="text1"/>
                <w:sz w:val="26"/>
                <w:szCs w:val="26"/>
              </w:rPr>
              <w:t>02</w:t>
            </w:r>
            <w:r w:rsidR="00EC01A0" w:rsidRPr="00ED5E38">
              <w:rPr>
                <w:i/>
                <w:noProof/>
                <w:color w:val="000000" w:themeColor="text1"/>
                <w:sz w:val="26"/>
                <w:szCs w:val="26"/>
                <w:lang w:val="vi-VN"/>
              </w:rPr>
              <w:t xml:space="preserve">  năm 2026</w:t>
            </w:r>
          </w:p>
        </w:tc>
      </w:tr>
    </w:tbl>
    <w:p w14:paraId="66E35DCD" w14:textId="4215EC6A" w:rsidR="00ED5C78" w:rsidRPr="00ED5E38" w:rsidRDefault="00ED5C78" w:rsidP="00A86478">
      <w:pPr>
        <w:tabs>
          <w:tab w:val="right" w:leader="dot" w:pos="7920"/>
        </w:tabs>
        <w:spacing w:before="120"/>
        <w:rPr>
          <w:b/>
          <w:noProof/>
          <w:color w:val="000000" w:themeColor="text1"/>
          <w:sz w:val="26"/>
          <w:szCs w:val="26"/>
          <w:lang w:val="vi-VN"/>
        </w:rPr>
      </w:pPr>
    </w:p>
    <w:p w14:paraId="3B9276F6" w14:textId="77777777" w:rsidR="00ED5C78" w:rsidRPr="00ED5E38" w:rsidRDefault="00ED5C78" w:rsidP="00A86478">
      <w:pPr>
        <w:tabs>
          <w:tab w:val="right" w:leader="dot" w:pos="7920"/>
        </w:tabs>
        <w:spacing w:before="120"/>
        <w:jc w:val="center"/>
        <w:rPr>
          <w:b/>
          <w:noProof/>
          <w:color w:val="000000" w:themeColor="text1"/>
          <w:sz w:val="26"/>
          <w:szCs w:val="26"/>
          <w:lang w:val="vi-VN"/>
        </w:rPr>
      </w:pPr>
      <w:r w:rsidRPr="00ED5E38">
        <w:rPr>
          <w:b/>
          <w:noProof/>
          <w:color w:val="000000" w:themeColor="text1"/>
          <w:sz w:val="26"/>
          <w:szCs w:val="26"/>
          <w:lang w:val="vi-VN"/>
        </w:rPr>
        <w:t xml:space="preserve">BÁO CÁO </w:t>
      </w:r>
    </w:p>
    <w:p w14:paraId="7EDC5762" w14:textId="77777777" w:rsidR="00EC01A0" w:rsidRPr="00ED5E38" w:rsidRDefault="00ED5C78" w:rsidP="00EC01A0">
      <w:pPr>
        <w:tabs>
          <w:tab w:val="right" w:leader="dot" w:pos="7920"/>
        </w:tabs>
        <w:jc w:val="center"/>
        <w:rPr>
          <w:b/>
          <w:noProof/>
          <w:color w:val="000000" w:themeColor="text1"/>
          <w:sz w:val="26"/>
          <w:szCs w:val="26"/>
          <w:lang w:val="vi-VN"/>
        </w:rPr>
      </w:pPr>
      <w:r w:rsidRPr="00ED5E38">
        <w:rPr>
          <w:b/>
          <w:noProof/>
          <w:color w:val="000000" w:themeColor="text1"/>
          <w:sz w:val="26"/>
          <w:szCs w:val="26"/>
          <w:lang w:val="vi-VN"/>
        </w:rPr>
        <w:t>Đánh giá tác động của chính sách</w:t>
      </w:r>
      <w:r w:rsidRPr="00ED5E38">
        <w:rPr>
          <w:noProof/>
          <w:color w:val="000000" w:themeColor="text1"/>
          <w:sz w:val="26"/>
          <w:szCs w:val="26"/>
          <w:lang w:val="vi-VN"/>
        </w:rPr>
        <w:t xml:space="preserve"> </w:t>
      </w:r>
      <w:r w:rsidRPr="00ED5E38">
        <w:rPr>
          <w:b/>
          <w:noProof/>
          <w:color w:val="000000" w:themeColor="text1"/>
          <w:sz w:val="26"/>
          <w:szCs w:val="26"/>
          <w:lang w:val="vi-VN"/>
        </w:rPr>
        <w:t xml:space="preserve">Dự án Luật </w:t>
      </w:r>
      <w:r w:rsidR="00EC01A0" w:rsidRPr="00ED5E38">
        <w:rPr>
          <w:b/>
          <w:noProof/>
          <w:color w:val="000000" w:themeColor="text1"/>
          <w:sz w:val="26"/>
          <w:szCs w:val="26"/>
          <w:lang w:val="vi-VN"/>
        </w:rPr>
        <w:t>s</w:t>
      </w:r>
      <w:r w:rsidRPr="00ED5E38">
        <w:rPr>
          <w:b/>
          <w:noProof/>
          <w:color w:val="000000" w:themeColor="text1"/>
          <w:sz w:val="26"/>
          <w:szCs w:val="26"/>
          <w:lang w:val="vi-VN"/>
        </w:rPr>
        <w:t xml:space="preserve">ửa đổi, bổ sung một số điều của </w:t>
      </w:r>
    </w:p>
    <w:p w14:paraId="4AB68EF2" w14:textId="77777777" w:rsidR="00EC01A0" w:rsidRPr="00ED5E38" w:rsidRDefault="00ED5C78" w:rsidP="00EC01A0">
      <w:pPr>
        <w:tabs>
          <w:tab w:val="right" w:leader="dot" w:pos="7920"/>
        </w:tabs>
        <w:jc w:val="center"/>
        <w:rPr>
          <w:b/>
          <w:noProof/>
          <w:color w:val="000000" w:themeColor="text1"/>
          <w:sz w:val="26"/>
          <w:szCs w:val="26"/>
        </w:rPr>
      </w:pPr>
      <w:r w:rsidRPr="00ED5E38">
        <w:rPr>
          <w:b/>
          <w:noProof/>
          <w:color w:val="000000" w:themeColor="text1"/>
          <w:sz w:val="26"/>
          <w:szCs w:val="26"/>
          <w:lang w:val="vi-VN"/>
        </w:rPr>
        <w:t xml:space="preserve">Luật Thương mại, Luật Cạnh tranh, Luật Quản lý ngoại thương, </w:t>
      </w:r>
    </w:p>
    <w:p w14:paraId="7CEA8E02" w14:textId="75E41996" w:rsidR="00ED5C78" w:rsidRPr="00ED5E38" w:rsidRDefault="00ED5C78" w:rsidP="00EC01A0">
      <w:pPr>
        <w:tabs>
          <w:tab w:val="right" w:leader="dot" w:pos="7920"/>
        </w:tabs>
        <w:jc w:val="center"/>
        <w:rPr>
          <w:b/>
          <w:noProof/>
          <w:color w:val="000000" w:themeColor="text1"/>
          <w:sz w:val="26"/>
          <w:szCs w:val="26"/>
          <w:lang w:val="vi-VN"/>
        </w:rPr>
      </w:pPr>
      <w:r w:rsidRPr="00ED5E38">
        <w:rPr>
          <w:b/>
          <w:noProof/>
          <w:color w:val="000000" w:themeColor="text1"/>
          <w:sz w:val="26"/>
          <w:szCs w:val="26"/>
          <w:lang w:val="vi-VN"/>
        </w:rPr>
        <w:t>Luật Bảo vệ quyền lợi người tiêu dùng</w:t>
      </w:r>
    </w:p>
    <w:p w14:paraId="4D56F057" w14:textId="46F495CF" w:rsidR="00ED5C78" w:rsidRPr="00582C1D" w:rsidRDefault="00582C1D" w:rsidP="00582C1D">
      <w:pPr>
        <w:tabs>
          <w:tab w:val="right" w:leader="dot" w:pos="7920"/>
        </w:tabs>
        <w:spacing w:before="120"/>
        <w:jc w:val="center"/>
        <w:rPr>
          <w:i/>
          <w:noProof/>
          <w:color w:val="000000" w:themeColor="text1"/>
          <w:sz w:val="26"/>
          <w:szCs w:val="26"/>
        </w:rPr>
      </w:pPr>
      <w:r w:rsidRPr="00582C1D">
        <w:rPr>
          <w:i/>
          <w:noProof/>
          <w:color w:val="000000" w:themeColor="text1"/>
          <w:sz w:val="26"/>
          <w:szCs w:val="26"/>
        </w:rPr>
        <w:t>(Tài liệu phục vụ thẩm định tại Bộ Tư pháp)</w:t>
      </w:r>
    </w:p>
    <w:p w14:paraId="1B4F1EFC" w14:textId="77777777" w:rsidR="00ED5C78" w:rsidRPr="00ED5E38" w:rsidRDefault="00ED5C78" w:rsidP="00B74600">
      <w:pPr>
        <w:pStyle w:val="Heading1"/>
        <w:spacing w:line="340" w:lineRule="exact"/>
      </w:pPr>
      <w:r w:rsidRPr="00ED5E38">
        <w:t xml:space="preserve">I. XÁC ĐỊNH VẤN ĐỀ </w:t>
      </w:r>
      <w:bookmarkStart w:id="0" w:name="_GoBack"/>
      <w:bookmarkEnd w:id="0"/>
    </w:p>
    <w:p w14:paraId="45647A2B" w14:textId="77777777" w:rsidR="00ED5C78" w:rsidRPr="0027142B" w:rsidRDefault="00ED5C78" w:rsidP="00B74600">
      <w:pPr>
        <w:pStyle w:val="Heading1"/>
        <w:spacing w:line="340" w:lineRule="exact"/>
      </w:pPr>
      <w:r w:rsidRPr="0027142B">
        <w:t>1. Chính sách 1: Về đẩy mạnh phân cấp, phân quyền kết hợp nội dung cải cách thủ tục hành chính, điều kiện đầu tư kinh doanh</w:t>
      </w:r>
    </w:p>
    <w:p w14:paraId="3AAFAE8B" w14:textId="77777777" w:rsidR="00ED5C78" w:rsidRPr="00ED5E38" w:rsidRDefault="00ED5C78" w:rsidP="00B74600">
      <w:pPr>
        <w:pStyle w:val="Heading1"/>
        <w:spacing w:line="340" w:lineRule="exact"/>
      </w:pPr>
      <w:r w:rsidRPr="00ED5E38">
        <w:t>1.1.</w:t>
      </w:r>
      <w:r w:rsidR="00F0346C" w:rsidRPr="00ED5E38">
        <w:t xml:space="preserve"> Bối cảnh </w:t>
      </w:r>
      <w:r w:rsidR="00C16250" w:rsidRPr="00ED5E38">
        <w:t>xây dựng chính sách</w:t>
      </w:r>
      <w:r w:rsidR="00F0346C" w:rsidRPr="00ED5E38">
        <w:t xml:space="preserve"> </w:t>
      </w:r>
    </w:p>
    <w:p w14:paraId="3A30E438" w14:textId="77777777" w:rsidR="00D53293" w:rsidRPr="00ED5E38" w:rsidRDefault="00D53293" w:rsidP="00B74600">
      <w:pPr>
        <w:tabs>
          <w:tab w:val="right" w:leader="dot" w:pos="7920"/>
        </w:tabs>
        <w:spacing w:before="120" w:after="120" w:line="340" w:lineRule="exact"/>
        <w:ind w:firstLine="709"/>
        <w:jc w:val="both"/>
        <w:rPr>
          <w:b/>
          <w:bCs/>
          <w:i/>
          <w:noProof/>
          <w:color w:val="000000" w:themeColor="text1"/>
          <w:sz w:val="26"/>
          <w:szCs w:val="26"/>
          <w:lang w:val="vi-VN"/>
        </w:rPr>
      </w:pPr>
      <w:r w:rsidRPr="00ED5E38">
        <w:rPr>
          <w:b/>
          <w:bCs/>
          <w:i/>
          <w:noProof/>
          <w:color w:val="000000" w:themeColor="text1"/>
          <w:sz w:val="26"/>
          <w:szCs w:val="26"/>
          <w:lang w:val="vi-VN"/>
        </w:rPr>
        <w:t>a) Cơ sở chính trị</w:t>
      </w:r>
    </w:p>
    <w:p w14:paraId="00B01A47" w14:textId="40B1E774" w:rsidR="00D53293" w:rsidRPr="00ED5E38" w:rsidRDefault="00D53293" w:rsidP="00B74600">
      <w:pPr>
        <w:widowControl w:val="0"/>
        <w:tabs>
          <w:tab w:val="left" w:pos="1134"/>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Thực hiện </w:t>
      </w:r>
      <w:r w:rsidRPr="00ED5E38">
        <w:rPr>
          <w:noProof/>
          <w:color w:val="000000" w:themeColor="text1"/>
          <w:sz w:val="26"/>
          <w:szCs w:val="26"/>
          <w:shd w:val="clear" w:color="auto" w:fill="FFFFFF"/>
          <w:lang w:val="vi-VN"/>
        </w:rPr>
        <w:t xml:space="preserve">Nghị quyết 18-NQ/TW ngày 25-10-2017 của Ban Chấp hành Trung ương Đảng khóa XII về một số vấn đề tiếp tục đổi mới, sắp xếp tổ chức bộ máy của hệ thống chính trị tinh gọn, hoạt động hiệu lực, hiệu quả, </w:t>
      </w:r>
      <w:r w:rsidRPr="00ED5E38">
        <w:rPr>
          <w:noProof/>
          <w:color w:val="000000" w:themeColor="text1"/>
          <w:sz w:val="26"/>
          <w:szCs w:val="26"/>
          <w:lang w:val="vi-VN"/>
        </w:rPr>
        <w:t xml:space="preserve">Nghị quyết 60-NQ/TW ngày 12/4/2025 của Hội nghị lần thứ 11 Ban chấp hành Trung ương Đảng khoá XIII; Kết luận số 127-KL/TW ngày 28/02/2025; Kết luận số 130-KL/TW ngày 14/3/2025; Kết luận số 137-KL/TW ngày 28/3/2025 của Bộ Chính trị, Ban Bí thư về việc sắp xếp đơn vị hành chính các cấp và xây dựng mô hình tổ chức chính quyền địa phương 02 cấp; Kết luận số 155-KL/TW ngày 17/5/2025 của Bộ Chính trị, Ban Bí thư về một số nhiệm vụ trọng tâm cần tập trung thực hiện về sắp xếp tổ chức bộ máy và đơn vị hành chính; Kết luận số 157-KL/TW ngày 25/5/2025 của Bộ Chính trị về sắp xếp tổ chức bộ máy, đơn vị hành chính; Công văn số 43-CV/BCĐ ngày 20/3/2025 của Ban Chỉ đạo Trung ương về tổng kết việc thực hiện Nghị quyết số 18-NQ/TW ngày 25/10/2017 của Ban Chấp hành Trung ương khóa XII Một số vấn đề về tiếp tục đổi mới, sắp xếp tổ chức bộ máy của hệ thống chính trị tinh gọn, hoạt động hiệu lực, hiệu quả; Công văn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02 cấp, Nghị quyết 74/NQ-CP ngày 07/4/2025 của Chính phủ ban hành Kế hoạch thực hiện sắp xếp đơn vị hành chính và xây dựng mô hình tổ chức chính quyền địa phương </w:t>
      </w:r>
      <w:r w:rsidR="00D22F14" w:rsidRPr="00D22F14">
        <w:rPr>
          <w:noProof/>
          <w:color w:val="000000" w:themeColor="text1"/>
          <w:sz w:val="26"/>
          <w:szCs w:val="26"/>
          <w:lang w:val="vi-VN"/>
        </w:rPr>
        <w:t>0</w:t>
      </w:r>
      <w:r w:rsidRPr="00ED5E38">
        <w:rPr>
          <w:noProof/>
          <w:color w:val="000000" w:themeColor="text1"/>
          <w:sz w:val="26"/>
          <w:szCs w:val="26"/>
          <w:lang w:val="vi-VN"/>
        </w:rPr>
        <w:t>2 cấp, Bộ Công Thương đã xây dựng, trình Chính phủ ban hành Nghị định 139/2025/NĐ-CP và 146/2025/NĐ-CP trên cơ sở thực hiện chủ trương chung theo chỉ đạo của Bộ Chính trị, Ban Bí thư, Đảng bộ Chính phủ về phân cấp, phân quyền gắn với tổ chức chính quyền địa phương hai cấp, nhằm cụ thể hóa chủ trương cải cách tổ chức bộ máy nhà nước theo mô hình chính quyền địa phương hai cấp.</w:t>
      </w:r>
      <w:r w:rsidRPr="00ED5E38">
        <w:rPr>
          <w:b/>
          <w:noProof/>
          <w:color w:val="000000" w:themeColor="text1"/>
          <w:sz w:val="26"/>
          <w:szCs w:val="26"/>
          <w:lang w:val="vi-VN"/>
        </w:rPr>
        <w:t xml:space="preserve"> </w:t>
      </w:r>
    </w:p>
    <w:p w14:paraId="7EECD8C6" w14:textId="77777777" w:rsidR="00D53293" w:rsidRPr="00ED5E38" w:rsidRDefault="00D53293" w:rsidP="00B74600">
      <w:pPr>
        <w:pStyle w:val="NormalWeb"/>
        <w:spacing w:before="120" w:beforeAutospacing="0" w:after="120" w:afterAutospacing="0" w:line="340" w:lineRule="exact"/>
        <w:ind w:firstLine="709"/>
        <w:jc w:val="both"/>
        <w:rPr>
          <w:i/>
          <w:noProof/>
          <w:color w:val="000000" w:themeColor="text1"/>
          <w:sz w:val="26"/>
          <w:szCs w:val="26"/>
          <w:lang w:val="vi-VN"/>
        </w:rPr>
      </w:pPr>
      <w:r w:rsidRPr="00ED5E38">
        <w:rPr>
          <w:rStyle w:val="Strong"/>
          <w:i/>
          <w:noProof/>
          <w:color w:val="000000" w:themeColor="text1"/>
          <w:sz w:val="26"/>
          <w:szCs w:val="26"/>
          <w:lang w:val="vi-VN"/>
        </w:rPr>
        <w:lastRenderedPageBreak/>
        <w:t>b) Cơ sở pháp lý và thực tiễn quản lý</w:t>
      </w:r>
    </w:p>
    <w:p w14:paraId="5F4532F8" w14:textId="77777777" w:rsidR="00D53293" w:rsidRPr="00ED5E38" w:rsidRDefault="00D53293" w:rsidP="00B74600">
      <w:pPr>
        <w:shd w:val="clear" w:color="auto" w:fill="FFFFFF"/>
        <w:spacing w:before="120" w:after="120" w:line="340" w:lineRule="exact"/>
        <w:ind w:firstLine="709"/>
        <w:jc w:val="both"/>
        <w:rPr>
          <w:i/>
          <w:iCs/>
          <w:noProof/>
          <w:color w:val="000000" w:themeColor="text1"/>
          <w:sz w:val="26"/>
          <w:szCs w:val="26"/>
          <w:lang w:val="vi-VN"/>
        </w:rPr>
      </w:pPr>
      <w:r w:rsidRPr="00ED5E38">
        <w:rPr>
          <w:noProof/>
          <w:color w:val="000000" w:themeColor="text1"/>
          <w:sz w:val="26"/>
          <w:szCs w:val="26"/>
          <w:lang w:val="vi-VN"/>
        </w:rPr>
        <w:t xml:space="preserve">Thể chế hóa chủ trương của Đảng thông qua nhiều nghị quyết, kết luận, chỉ đạo của Bộ Chính trị, Ban Bí thư, thực hiện Luật Tổ chức Chính phủ 2025, Luật Tổ chức chính quyền địa phương 2025, Nghị quyết số 190/2025/QH15 của Quốc hội về sắp xếp tổ chức bộ máy và Nghị định 139/2025/NĐ-CP, 146/2025/NĐ-CP. Theo đó mục tiêu, yêu cầu đặt ra theo Điều 54 Luật Tổ chức Chính quyền địa phương 2025 </w:t>
      </w:r>
      <w:r w:rsidRPr="00ED5E38">
        <w:rPr>
          <w:i/>
          <w:noProof/>
          <w:color w:val="000000" w:themeColor="text1"/>
          <w:sz w:val="26"/>
          <w:szCs w:val="26"/>
          <w:lang w:val="vi-VN"/>
        </w:rPr>
        <w:t>“</w:t>
      </w:r>
      <w:r w:rsidRPr="00ED5E38">
        <w:rPr>
          <w:bCs/>
          <w:i/>
          <w:iCs/>
          <w:noProof/>
          <w:color w:val="000000" w:themeColor="text1"/>
          <w:sz w:val="26"/>
          <w:szCs w:val="26"/>
          <w:lang w:val="vi-VN"/>
        </w:rPr>
        <w:t>1. 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w:t>
      </w:r>
    </w:p>
    <w:p w14:paraId="7CC13007" w14:textId="77777777" w:rsidR="00D53293" w:rsidRPr="00ED5E38" w:rsidRDefault="00D53293" w:rsidP="00B74600">
      <w:pPr>
        <w:shd w:val="clear" w:color="auto" w:fill="FFFFFF"/>
        <w:spacing w:before="120" w:after="120" w:line="340" w:lineRule="exact"/>
        <w:ind w:firstLine="709"/>
        <w:jc w:val="both"/>
        <w:rPr>
          <w:i/>
          <w:noProof/>
          <w:color w:val="000000" w:themeColor="text1"/>
          <w:sz w:val="26"/>
          <w:szCs w:val="26"/>
          <w:lang w:val="vi-VN"/>
        </w:rPr>
      </w:pPr>
      <w:r w:rsidRPr="00ED5E38">
        <w:rPr>
          <w:i/>
          <w:iCs/>
          <w:noProof/>
          <w:color w:val="000000" w:themeColor="text1"/>
          <w:sz w:val="26"/>
          <w:szCs w:val="26"/>
          <w:lang w:val="vi-VN"/>
        </w:rPr>
        <w:t xml:space="preserve">Kể từ ngày Luật này có hiệu lực thi hành, để kịp thời thực hiện tổ chức chính quyền địa phương cấp tỉnh, cấp xã theo quy định tại Luật này và đẩy mạnh phân quyền, phân cấp cho chính quyền địa phương trong một số lĩnh vực ưu tiên, cấp bách, giao Chính phủ ban hành văn bản quy phạm pháp luật thuộc thẩm quyền phân định lại nhiệm vụ, quyền hạn của chính quyền địa phương và điều chỉnh các quy định khác có liên quan đến việc thực hiện nhiệm vụ, quyền hạn của chính quyền địa phương để thống nhất áp dụng trong thời gian chưa sửa đổi, bổ sung các luật, pháp lệnh, nghị </w:t>
      </w:r>
      <w:r w:rsidRPr="00ED5E38">
        <w:rPr>
          <w:i/>
          <w:iCs/>
          <w:noProof/>
          <w:color w:val="000000" w:themeColor="text1"/>
          <w:sz w:val="26"/>
          <w:szCs w:val="26"/>
          <w:shd w:val="clear" w:color="auto" w:fill="FFFFFF"/>
          <w:lang w:val="vi-VN"/>
        </w:rPr>
        <w:t>quyết của Quốc hội, Ủy ban Thường vụ Quốc hội và định kỳ báo cáo Ủy ban Thường vụ Quốc hội; trường hợp liên quan đến luật, nghị quyết của Quốc hội thì báo cáo Quốc hội tại kỳ họp gần nhất”.</w:t>
      </w:r>
    </w:p>
    <w:p w14:paraId="686FA59D" w14:textId="078E57F8" w:rsidR="00D53293" w:rsidRPr="00ED5E38" w:rsidRDefault="00D53293" w:rsidP="00B74600">
      <w:pPr>
        <w:shd w:val="clear" w:color="auto" w:fill="FFFFFF"/>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Như vậy có thể nhận định năm 2026 là năm trọng tâm, bản lề trong việc xử lý hệ thống văn bản quy phạm pháp luật giữ vai trò phân quyền, phân cấp, phân định thẩm quyền, trong đó ngành Công Thương có các Luật Thương mại 2005, Luật Cạnh tranh 2018, Luật Quản lý ngoại thương 2017, Luật Bảo vệ quyền lợi người tiêu dùng 2023.</w:t>
      </w:r>
    </w:p>
    <w:p w14:paraId="53BA4BCD" w14:textId="77777777" w:rsidR="00826590" w:rsidRPr="00ED5E38" w:rsidRDefault="00826590" w:rsidP="00B74600">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Điều 54 Luật Tổ chức Chính quyền địa phương 2025 quy định “1. Chậm nhất là ngày 01 tháng 3 năm 2027, các văn bản quy phạm pháp luật có nội dung quy định về tổ chức, nhiệm vụ, quyền hạn và quy định khác có liên quan của chính quyền địa phương các cấp phải được sửa đổi, bổ sung để bảo đảm phù hợp với tổ chức đơn vị hành chính, các nguyên tắc và các nhiệm vụ, quyền hạn của chính quyền địa phương các cấp quy định tại Luật này. </w:t>
      </w:r>
    </w:p>
    <w:p w14:paraId="2CFADD74" w14:textId="77777777" w:rsidR="00826590" w:rsidRPr="00ED5E38" w:rsidRDefault="00826590" w:rsidP="00B74600">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Trên cơ sở đó đối với các nhiệm vụ đã được phân quyền, phân cấp theo Nghị định số 146/2025/NĐ-CP và phân định thẩm quyền theo Nghị định số 139/2025/NĐ-CP cần phải được hiện thực hoá, cụ thể hoá tại các văn bản quy phạm pháp luật có nội dung quản lý nhà nước được phân quyền, phân cấp, phân định thẩm quyền trong đó có Luật Thương mại 2005, Luật Quản lý ngoại thương 2017, Luật Cạnh tranh 2018, Luật Bảo vệ quyền lợi người tiêu dùng 2023. Đây là các nhiệm vụ bắt buộc không chỉ riêng đối với các đạo luật này, mà là “mệnh lệnh chính trị” chung cho tổng thể hệ thống pháp luật thực thi sứ mệnh phân quyền, phân cấp, phân định thẩm quyền.</w:t>
      </w:r>
    </w:p>
    <w:p w14:paraId="2F0E66C9" w14:textId="77777777" w:rsidR="00826590" w:rsidRPr="00ED5E38" w:rsidRDefault="00826590" w:rsidP="00B74600">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Tính đến 05/9/2025 việc phân quyền, phân cấp trong các lĩnh vực quản lý nhà nước của Bộ Công Thương đạt 55,7%, đây là kết quả đạt mức tiệm cận kết quả chung của Chính phủ (56%), cùng với đó kết quả cắt giảm, đơn giản hóa thủ tục hành chính gắn với phân quyền, phân cấp vượt chỉ tiêu Chính phủ và cấp có thẩm quyền giao, cụ thể:</w:t>
      </w:r>
    </w:p>
    <w:tbl>
      <w:tblPr>
        <w:tblStyle w:val="TableGrid"/>
        <w:tblW w:w="9351" w:type="dxa"/>
        <w:tblInd w:w="0" w:type="dxa"/>
        <w:tblLook w:val="04A0" w:firstRow="1" w:lastRow="0" w:firstColumn="1" w:lastColumn="0" w:noHBand="0" w:noVBand="1"/>
      </w:tblPr>
      <w:tblGrid>
        <w:gridCol w:w="563"/>
        <w:gridCol w:w="1842"/>
        <w:gridCol w:w="1559"/>
        <w:gridCol w:w="1418"/>
        <w:gridCol w:w="1276"/>
        <w:gridCol w:w="1417"/>
        <w:gridCol w:w="1276"/>
      </w:tblGrid>
      <w:tr w:rsidR="00874827" w:rsidRPr="00ED5E38" w14:paraId="69067682" w14:textId="77777777" w:rsidTr="008D1468">
        <w:tc>
          <w:tcPr>
            <w:tcW w:w="563" w:type="dxa"/>
            <w:vMerge w:val="restart"/>
          </w:tcPr>
          <w:p w14:paraId="5689F6F9" w14:textId="77777777" w:rsidR="00874827" w:rsidRPr="00ED5E38" w:rsidRDefault="00874827"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TT</w:t>
            </w:r>
          </w:p>
        </w:tc>
        <w:tc>
          <w:tcPr>
            <w:tcW w:w="1842" w:type="dxa"/>
            <w:vMerge w:val="restart"/>
          </w:tcPr>
          <w:p w14:paraId="05D49304" w14:textId="77777777" w:rsidR="00874827" w:rsidRPr="00ED5E38" w:rsidRDefault="00874827"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Nhiệm vụ</w:t>
            </w:r>
          </w:p>
        </w:tc>
        <w:tc>
          <w:tcPr>
            <w:tcW w:w="1559" w:type="dxa"/>
            <w:vMerge w:val="restart"/>
          </w:tcPr>
          <w:p w14:paraId="4718AACA" w14:textId="77777777" w:rsidR="00874827" w:rsidRPr="00ED5E38" w:rsidRDefault="00874827"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Tổng số NV</w:t>
            </w:r>
          </w:p>
        </w:tc>
        <w:tc>
          <w:tcPr>
            <w:tcW w:w="2694" w:type="dxa"/>
            <w:gridSpan w:val="2"/>
          </w:tcPr>
          <w:p w14:paraId="185CD2EA" w14:textId="77777777" w:rsidR="00874827" w:rsidRPr="00ED5E38" w:rsidRDefault="00874827"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Thuộc thẩm quyền của Bộ</w:t>
            </w:r>
          </w:p>
        </w:tc>
        <w:tc>
          <w:tcPr>
            <w:tcW w:w="2693" w:type="dxa"/>
            <w:gridSpan w:val="2"/>
          </w:tcPr>
          <w:p w14:paraId="3C141215" w14:textId="77777777" w:rsidR="00874827" w:rsidRPr="00ED5E38" w:rsidRDefault="00874827"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Thuộc thẩm quyền của địa phương</w:t>
            </w:r>
          </w:p>
        </w:tc>
      </w:tr>
      <w:tr w:rsidR="00874827" w:rsidRPr="00ED5E38" w14:paraId="3E0D5E0B" w14:textId="77777777" w:rsidTr="008D1468">
        <w:tc>
          <w:tcPr>
            <w:tcW w:w="563" w:type="dxa"/>
            <w:vMerge/>
          </w:tcPr>
          <w:p w14:paraId="37FD52FC"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p>
        </w:tc>
        <w:tc>
          <w:tcPr>
            <w:tcW w:w="1842" w:type="dxa"/>
            <w:vMerge/>
          </w:tcPr>
          <w:p w14:paraId="0C656DC2"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p>
        </w:tc>
        <w:tc>
          <w:tcPr>
            <w:tcW w:w="1559" w:type="dxa"/>
            <w:vMerge/>
          </w:tcPr>
          <w:p w14:paraId="2A3067A5"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p>
        </w:tc>
        <w:tc>
          <w:tcPr>
            <w:tcW w:w="1418" w:type="dxa"/>
          </w:tcPr>
          <w:p w14:paraId="1E04F950"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Trước 01/7 (%)</w:t>
            </w:r>
          </w:p>
        </w:tc>
        <w:tc>
          <w:tcPr>
            <w:tcW w:w="1276" w:type="dxa"/>
          </w:tcPr>
          <w:p w14:paraId="3FDD39C5"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Đến 05/9/2025 (%)</w:t>
            </w:r>
          </w:p>
        </w:tc>
        <w:tc>
          <w:tcPr>
            <w:tcW w:w="1417" w:type="dxa"/>
          </w:tcPr>
          <w:p w14:paraId="24FE0DE3"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Trước 01/7 (%)</w:t>
            </w:r>
          </w:p>
        </w:tc>
        <w:tc>
          <w:tcPr>
            <w:tcW w:w="1276" w:type="dxa"/>
          </w:tcPr>
          <w:p w14:paraId="416796B4" w14:textId="77777777" w:rsidR="00874827" w:rsidRPr="00ED5E38" w:rsidRDefault="00874827"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Đến 05/9/2025 (%)</w:t>
            </w:r>
          </w:p>
        </w:tc>
      </w:tr>
      <w:tr w:rsidR="00826590" w:rsidRPr="00ED5E38" w14:paraId="59852208" w14:textId="77777777" w:rsidTr="008D1468">
        <w:tc>
          <w:tcPr>
            <w:tcW w:w="563" w:type="dxa"/>
          </w:tcPr>
          <w:p w14:paraId="21DD9FFE"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1</w:t>
            </w:r>
          </w:p>
        </w:tc>
        <w:tc>
          <w:tcPr>
            <w:tcW w:w="1842" w:type="dxa"/>
          </w:tcPr>
          <w:p w14:paraId="4E4F9E80"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Phân quyền phân cấp</w:t>
            </w:r>
          </w:p>
        </w:tc>
        <w:tc>
          <w:tcPr>
            <w:tcW w:w="1559" w:type="dxa"/>
          </w:tcPr>
          <w:p w14:paraId="5F807C6D"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522</w:t>
            </w:r>
          </w:p>
        </w:tc>
        <w:tc>
          <w:tcPr>
            <w:tcW w:w="1418" w:type="dxa"/>
          </w:tcPr>
          <w:p w14:paraId="5F3238F6"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100</w:t>
            </w:r>
          </w:p>
        </w:tc>
        <w:tc>
          <w:tcPr>
            <w:tcW w:w="1276" w:type="dxa"/>
          </w:tcPr>
          <w:p w14:paraId="24C02DA1"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44,3</w:t>
            </w:r>
          </w:p>
        </w:tc>
        <w:tc>
          <w:tcPr>
            <w:tcW w:w="1417" w:type="dxa"/>
          </w:tcPr>
          <w:p w14:paraId="7BA3416B"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00</w:t>
            </w:r>
          </w:p>
        </w:tc>
        <w:tc>
          <w:tcPr>
            <w:tcW w:w="1276" w:type="dxa"/>
          </w:tcPr>
          <w:p w14:paraId="41118E19"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55,7</w:t>
            </w:r>
          </w:p>
        </w:tc>
      </w:tr>
      <w:tr w:rsidR="00826590" w:rsidRPr="00ED5E38" w14:paraId="2006019F" w14:textId="77777777" w:rsidTr="008D1468">
        <w:tc>
          <w:tcPr>
            <w:tcW w:w="563" w:type="dxa"/>
          </w:tcPr>
          <w:p w14:paraId="63777BA6"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2</w:t>
            </w:r>
          </w:p>
        </w:tc>
        <w:tc>
          <w:tcPr>
            <w:tcW w:w="1842" w:type="dxa"/>
          </w:tcPr>
          <w:p w14:paraId="79CF7AF9"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Phân định thẩm quyền</w:t>
            </w:r>
          </w:p>
        </w:tc>
        <w:tc>
          <w:tcPr>
            <w:tcW w:w="1559" w:type="dxa"/>
          </w:tcPr>
          <w:p w14:paraId="27ADA356"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39</w:t>
            </w:r>
          </w:p>
        </w:tc>
        <w:tc>
          <w:tcPr>
            <w:tcW w:w="1418" w:type="dxa"/>
          </w:tcPr>
          <w:p w14:paraId="4B5FDDE7"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p>
        </w:tc>
        <w:tc>
          <w:tcPr>
            <w:tcW w:w="1276" w:type="dxa"/>
          </w:tcPr>
          <w:p w14:paraId="37D0C195"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p>
        </w:tc>
        <w:tc>
          <w:tcPr>
            <w:tcW w:w="1417" w:type="dxa"/>
          </w:tcPr>
          <w:p w14:paraId="5E9F42B9"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p>
        </w:tc>
        <w:tc>
          <w:tcPr>
            <w:tcW w:w="1276" w:type="dxa"/>
          </w:tcPr>
          <w:p w14:paraId="1ECFABFE"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p>
        </w:tc>
      </w:tr>
      <w:tr w:rsidR="00826590" w:rsidRPr="00ED5E38" w14:paraId="535233E1" w14:textId="77777777" w:rsidTr="008D1468">
        <w:tc>
          <w:tcPr>
            <w:tcW w:w="563" w:type="dxa"/>
          </w:tcPr>
          <w:p w14:paraId="2178FC24"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3</w:t>
            </w:r>
          </w:p>
        </w:tc>
        <w:tc>
          <w:tcPr>
            <w:tcW w:w="1842" w:type="dxa"/>
          </w:tcPr>
          <w:p w14:paraId="396DC094" w14:textId="3AC76141" w:rsidR="00826590" w:rsidRPr="00ED5E38" w:rsidRDefault="00EC01A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Phâ</w:t>
            </w:r>
            <w:r w:rsidR="0091405F" w:rsidRPr="0091405F">
              <w:rPr>
                <w:noProof/>
                <w:color w:val="000000" w:themeColor="text1"/>
                <w:sz w:val="26"/>
                <w:szCs w:val="26"/>
                <w:lang w:val="vi-VN"/>
              </w:rPr>
              <w:t>n</w:t>
            </w:r>
            <w:r w:rsidRPr="00ED5E38">
              <w:rPr>
                <w:noProof/>
                <w:color w:val="000000" w:themeColor="text1"/>
                <w:sz w:val="26"/>
                <w:szCs w:val="26"/>
                <w:lang w:val="vi-VN"/>
              </w:rPr>
              <w:t xml:space="preserve"> quyền, phân cấp</w:t>
            </w:r>
            <w:r w:rsidR="00826590" w:rsidRPr="00ED5E38">
              <w:rPr>
                <w:noProof/>
                <w:color w:val="000000" w:themeColor="text1"/>
                <w:sz w:val="26"/>
                <w:szCs w:val="26"/>
                <w:lang w:val="vi-VN"/>
              </w:rPr>
              <w:t xml:space="preserve"> gắn với cắt giảm </w:t>
            </w:r>
            <w:r w:rsidRPr="00ED5E38">
              <w:rPr>
                <w:noProof/>
                <w:color w:val="000000" w:themeColor="text1"/>
                <w:sz w:val="26"/>
                <w:szCs w:val="26"/>
                <w:lang w:val="vi-VN"/>
              </w:rPr>
              <w:t>thủ tục hành chính</w:t>
            </w:r>
          </w:p>
        </w:tc>
        <w:tc>
          <w:tcPr>
            <w:tcW w:w="1559" w:type="dxa"/>
          </w:tcPr>
          <w:p w14:paraId="4281BCE4"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503</w:t>
            </w:r>
          </w:p>
        </w:tc>
        <w:tc>
          <w:tcPr>
            <w:tcW w:w="1418" w:type="dxa"/>
          </w:tcPr>
          <w:p w14:paraId="0638497A"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66,3</w:t>
            </w:r>
          </w:p>
        </w:tc>
        <w:tc>
          <w:tcPr>
            <w:tcW w:w="1276" w:type="dxa"/>
          </w:tcPr>
          <w:p w14:paraId="38678E36" w14:textId="77777777" w:rsidR="00826590" w:rsidRPr="00ED5E38" w:rsidRDefault="00826590"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41,6</w:t>
            </w:r>
          </w:p>
        </w:tc>
        <w:tc>
          <w:tcPr>
            <w:tcW w:w="1417" w:type="dxa"/>
          </w:tcPr>
          <w:p w14:paraId="77C76CA1" w14:textId="77777777" w:rsidR="00826590" w:rsidRPr="00ED5E38" w:rsidRDefault="00826590" w:rsidP="00874827">
            <w:pPr>
              <w:tabs>
                <w:tab w:val="right" w:leader="dot" w:pos="7920"/>
              </w:tabs>
              <w:spacing w:before="60" w:after="60"/>
              <w:jc w:val="center"/>
              <w:rPr>
                <w:noProof/>
                <w:color w:val="000000" w:themeColor="text1"/>
                <w:sz w:val="26"/>
                <w:szCs w:val="26"/>
                <w:lang w:val="vi-VN"/>
              </w:rPr>
            </w:pPr>
            <w:r w:rsidRPr="00ED5E38">
              <w:rPr>
                <w:noProof/>
                <w:color w:val="000000" w:themeColor="text1"/>
                <w:sz w:val="26"/>
                <w:szCs w:val="26"/>
                <w:lang w:val="vi-VN"/>
              </w:rPr>
              <w:t>33,7</w:t>
            </w:r>
          </w:p>
        </w:tc>
        <w:tc>
          <w:tcPr>
            <w:tcW w:w="1276" w:type="dxa"/>
          </w:tcPr>
          <w:p w14:paraId="389F537A" w14:textId="77777777" w:rsidR="00826590" w:rsidRPr="00ED5E38" w:rsidRDefault="00826590" w:rsidP="00874827">
            <w:pPr>
              <w:tabs>
                <w:tab w:val="right" w:leader="dot" w:pos="7920"/>
              </w:tabs>
              <w:spacing w:before="60" w:after="60"/>
              <w:jc w:val="center"/>
              <w:rPr>
                <w:b/>
                <w:noProof/>
                <w:color w:val="000000" w:themeColor="text1"/>
                <w:sz w:val="26"/>
                <w:szCs w:val="26"/>
                <w:lang w:val="vi-VN"/>
              </w:rPr>
            </w:pPr>
            <w:r w:rsidRPr="00ED5E38">
              <w:rPr>
                <w:b/>
                <w:noProof/>
                <w:color w:val="000000" w:themeColor="text1"/>
                <w:sz w:val="26"/>
                <w:szCs w:val="26"/>
                <w:lang w:val="vi-VN"/>
              </w:rPr>
              <w:t>58,4</w:t>
            </w:r>
          </w:p>
        </w:tc>
      </w:tr>
    </w:tbl>
    <w:p w14:paraId="139D204C" w14:textId="77777777" w:rsidR="00826590" w:rsidRPr="00ED5E38" w:rsidRDefault="00826590" w:rsidP="00ED5E38">
      <w:pPr>
        <w:spacing w:before="120" w:after="120" w:line="340" w:lineRule="exact"/>
        <w:ind w:firstLine="720"/>
        <w:jc w:val="both"/>
        <w:rPr>
          <w:noProof/>
          <w:color w:val="000000" w:themeColor="text1"/>
          <w:sz w:val="26"/>
          <w:szCs w:val="26"/>
          <w:lang w:val="vi-VN"/>
        </w:rPr>
      </w:pPr>
      <w:r w:rsidRPr="00ED5E38">
        <w:rPr>
          <w:bCs/>
          <w:noProof/>
          <w:color w:val="000000" w:themeColor="text1"/>
          <w:sz w:val="26"/>
          <w:szCs w:val="26"/>
          <w:lang w:val="vi-VN"/>
        </w:rPr>
        <w:t>Cơ cấu phân bổ:</w:t>
      </w:r>
      <w:r w:rsidRPr="00ED5E38">
        <w:rPr>
          <w:noProof/>
          <w:color w:val="000000" w:themeColor="text1"/>
          <w:sz w:val="26"/>
          <w:szCs w:val="26"/>
          <w:lang w:val="vi-VN"/>
        </w:rPr>
        <w:t xml:space="preserve"> Trong đó, có </w:t>
      </w:r>
      <w:r w:rsidRPr="00ED5E38">
        <w:rPr>
          <w:bCs/>
          <w:noProof/>
          <w:color w:val="000000" w:themeColor="text1"/>
          <w:sz w:val="26"/>
          <w:szCs w:val="26"/>
          <w:lang w:val="vi-VN"/>
        </w:rPr>
        <w:t>73 nhiệm vụ</w:t>
      </w:r>
      <w:r w:rsidRPr="00ED5E38">
        <w:rPr>
          <w:noProof/>
          <w:color w:val="000000" w:themeColor="text1"/>
          <w:sz w:val="26"/>
          <w:szCs w:val="26"/>
          <w:lang w:val="vi-VN"/>
        </w:rPr>
        <w:t xml:space="preserve"> thuộc thẩm quyền của Trung ương và </w:t>
      </w:r>
      <w:r w:rsidRPr="00ED5E38">
        <w:rPr>
          <w:bCs/>
          <w:noProof/>
          <w:color w:val="000000" w:themeColor="text1"/>
          <w:sz w:val="26"/>
          <w:szCs w:val="26"/>
          <w:lang w:val="vi-VN"/>
        </w:rPr>
        <w:t>219</w:t>
      </w:r>
      <w:r w:rsidRPr="00ED5E38">
        <w:rPr>
          <w:rStyle w:val="FootnoteReference"/>
          <w:bCs/>
          <w:noProof/>
          <w:color w:val="000000" w:themeColor="text1"/>
          <w:sz w:val="26"/>
          <w:szCs w:val="26"/>
          <w:lang w:val="vi-VN"/>
        </w:rPr>
        <w:footnoteReference w:id="1"/>
      </w:r>
      <w:r w:rsidRPr="00ED5E38">
        <w:rPr>
          <w:bCs/>
          <w:noProof/>
          <w:color w:val="000000" w:themeColor="text1"/>
          <w:sz w:val="26"/>
          <w:szCs w:val="26"/>
          <w:lang w:val="vi-VN"/>
        </w:rPr>
        <w:t xml:space="preserve"> nhiệm vụ</w:t>
      </w:r>
      <w:r w:rsidRPr="00ED5E38">
        <w:rPr>
          <w:noProof/>
          <w:color w:val="000000" w:themeColor="text1"/>
          <w:sz w:val="26"/>
          <w:szCs w:val="26"/>
          <w:lang w:val="vi-VN"/>
        </w:rPr>
        <w:t xml:space="preserve"> đã được phân cấp, phân quyền cho chính quyền địa phương (cấp tỉnh).</w:t>
      </w:r>
    </w:p>
    <w:p w14:paraId="0DECCA1F" w14:textId="04091D9E" w:rsidR="00826590" w:rsidRPr="00ED5E38" w:rsidRDefault="0082659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Phân quyền, phân cấp là biện pháp, hành động mang tính bản lề khi vận hành mô hình chính quyền địa phương </w:t>
      </w:r>
      <w:r w:rsidR="00D22F14" w:rsidRPr="00D22F14">
        <w:rPr>
          <w:noProof/>
          <w:color w:val="000000" w:themeColor="text1"/>
          <w:sz w:val="26"/>
          <w:szCs w:val="26"/>
          <w:lang w:val="vi-VN"/>
        </w:rPr>
        <w:t>0</w:t>
      </w:r>
      <w:r w:rsidRPr="00ED5E38">
        <w:rPr>
          <w:noProof/>
          <w:color w:val="000000" w:themeColor="text1"/>
          <w:sz w:val="26"/>
          <w:szCs w:val="26"/>
          <w:lang w:val="vi-VN"/>
        </w:rPr>
        <w:t>2 cấp của cả hệ thống chính trị trong kỷ nguyên mới, kỷ nguyên quyết tâm vươn mình của dân tộc, theo đó phân quyền, phân cấp không nên “đóng khung” trong bất kỳ mục tiêu, chỉ tiêu, con số cơ học cụ thể nào cả, ngược lại phân quyền, phân cấp cần thiết được rà soát kỹ lưỡng, đánh giá khách quan, đầy đủ và đẩy mạnh thực hiện với mục tiêu cơ bản là tháo gỡ khó khăn, vướng mắc, bất cập của hệ thống thể chế, pháp luật hiện hành, khơi thông các nguồn lực, tạo thuận lợi trong đầu tư, sản xuất, kinh doanh, thúc đẩy tăng trưởng kinh tế-xã hội.</w:t>
      </w:r>
    </w:p>
    <w:p w14:paraId="5012B7D1" w14:textId="77777777" w:rsidR="00826590" w:rsidRPr="00ED5E38" w:rsidRDefault="0082659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Bên cạnh đó, với chủ trương chung đẩy mạnh phân quyền phân cấp, phân định thẩm quyền, giao quyền “địa phương quyết, địa phương làm, địa phương chịu trách nhiệm”, thực hiện các Nghị quyết, Kết luận của Bộ Chính trị, Ban Bí thư và Công điện số 83/CĐ-TTg ngày 7/6/2025 của Thủ tướng Chính phủ về việc tiếp tục đẩy mạnh việc phân quyền, phân cấp, trên tinh thần đó việc rà soát, đánh giá tác động và tiếp tục thực hiện phân quyền, phân cấp tại Luật Thương mại 2005, Luật Quản lý ngoại thương 2017, Luật Cạnh tranh 2018, Luật Bảo vệ quyền lợi người tiêu dùng 2023 là cần thiết, phù hợp với chủ trương, đường lối chung, thống nhất với định hướng “chuyển từ tư duy quản lý </w:t>
      </w:r>
      <w:r w:rsidRPr="00ED5E38">
        <w:rPr>
          <w:noProof/>
          <w:color w:val="000000" w:themeColor="text1"/>
          <w:sz w:val="26"/>
          <w:szCs w:val="26"/>
          <w:lang w:val="vi-VN"/>
        </w:rPr>
        <w:lastRenderedPageBreak/>
        <w:t>sang kiến tạo”, cơ quan quản lý nhà nước ở trung ương chỉ tập trung hoạch định chính sách, việc thực thi cụ thể cần giao cho chính quyền cấp cơ sở, địa phương thực hiện.</w:t>
      </w:r>
    </w:p>
    <w:p w14:paraId="79229B5F" w14:textId="6CC1ED05" w:rsidR="00826590" w:rsidRPr="00ED5E38" w:rsidRDefault="0082659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Việc phân cấp theo Nghị định 146/2025/NĐ-CP là </w:t>
      </w:r>
      <w:r w:rsidRPr="00ED5E38">
        <w:rPr>
          <w:bCs/>
          <w:noProof/>
          <w:color w:val="000000" w:themeColor="text1"/>
          <w:sz w:val="26"/>
          <w:szCs w:val="26"/>
          <w:lang w:val="vi-VN"/>
        </w:rPr>
        <w:t xml:space="preserve">khả thi về mặt mục tiêu và lộ trình dài hạn, tính đến ngày 31/12/2025, theo Báo cáo số 59/BC-ĐƯ ngày 15/9/2025 của Đảng ủy Chính phủ đánh giá việc thực hiện pháp luật về phân quyền, phân cấp, phân định thẩm quyền khi vận hành chính quyền địa phương </w:t>
      </w:r>
      <w:r w:rsidR="00D22F14" w:rsidRPr="00D22F14">
        <w:rPr>
          <w:bCs/>
          <w:noProof/>
          <w:color w:val="000000" w:themeColor="text1"/>
          <w:sz w:val="26"/>
          <w:szCs w:val="26"/>
          <w:lang w:val="vi-VN"/>
        </w:rPr>
        <w:t>0</w:t>
      </w:r>
      <w:r w:rsidRPr="00ED5E38">
        <w:rPr>
          <w:bCs/>
          <w:noProof/>
          <w:color w:val="000000" w:themeColor="text1"/>
          <w:sz w:val="26"/>
          <w:szCs w:val="26"/>
          <w:lang w:val="vi-VN"/>
        </w:rPr>
        <w:t>2 cấp; Báo cáo số 9214/BC-BNV ngày 10/10/2025 của Bộ Nội vụ báo cáo v</w:t>
      </w:r>
      <w:r w:rsidRPr="00ED5E38">
        <w:rPr>
          <w:noProof/>
          <w:color w:val="000000" w:themeColor="text1"/>
          <w:sz w:val="26"/>
          <w:szCs w:val="26"/>
          <w:lang w:val="vi-VN"/>
        </w:rPr>
        <w:t>iệc thực hiện Quyết định số 608/QĐ-TTg của Thủ tướng Chính phủ và đề xuất sửa đổi, bổ sung các luật, nghị quyết của Quốc hội, pháp lệnh, nghị quyết của Ủy ban Thường vụ Quốc hội bảo đảm theo các nguyên tắc tại Luật Tổ chức Chính phủ và Luật Tổ chức chính quyền địa phương năm 2025; Báo cáo số 11296/BC-BNV ngày 27/11/2025 của Bộ Nội vụ báo cáo đánh giá tính khả thi đối với nhiệm vụ đã được phân cấp, phân quyền cho chính quyền địa phương, các quy định định phân quyền, phân cấp trong lĩnh vực công nghiệp và thương mại cơ bản thông suốt, khả thi, một số vướng mắc nhỏ lẻ đã được Bộ Công Thương kịp thời hướng dẫn các địa phương thực hiện</w:t>
      </w:r>
      <w:r w:rsidRPr="00ED5E38">
        <w:rPr>
          <w:rStyle w:val="FootnoteReference"/>
          <w:noProof/>
          <w:color w:val="000000" w:themeColor="text1"/>
          <w:sz w:val="26"/>
          <w:szCs w:val="26"/>
          <w:lang w:val="vi-VN"/>
        </w:rPr>
        <w:footnoteReference w:id="2"/>
      </w:r>
      <w:r w:rsidRPr="00ED5E38">
        <w:rPr>
          <w:noProof/>
          <w:color w:val="000000" w:themeColor="text1"/>
          <w:sz w:val="26"/>
          <w:szCs w:val="26"/>
          <w:lang w:val="vi-VN"/>
        </w:rPr>
        <w:t>.</w:t>
      </w:r>
    </w:p>
    <w:p w14:paraId="3FAF9288" w14:textId="77777777" w:rsidR="00826590" w:rsidRPr="00ED5E38" w:rsidRDefault="0082659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Báo cáo số 59-BC/ĐU chỉ ra một số khó khăn chủ liên quan thực thi thủ tục hành chính như (i) còn có cách hiểu khác nhau trong thẩm quyền của Ủy ban nhân dân cấp tỉnh trong việc cấp phép quá cảnh đối với hàng hóa thuộc Danh mục hàng hóa cấm xuất khẩu, cấm nhập khẩu, (ii) cần hướng dẫn về cách hiểu về thẩm quyền của Ủy ban nhân dân cấp tỉnh trong việc cấp Giấy chứng nhận xuất xứ hàng hóa theo Nghị định số 146/2025/NĐ-CP và Thông tư số 40/2025/TT-BCT, (iii) cần hướng dẫn về cách hiểu khác nhau trong thẩm quyền Nghị định số 146/2025/NĐ-CP quy định cho Ủy ban nhân dân tỉnh thực hiện: Cấp phép quá cảnh đối với hàng hóa thuộc Danh mục hàng hóa cấm xuất khẩu, cấm nhập khẩu, hàng hóa tạm ngừng xuất khẩu, tạm ngừng nhập khẩu, hàng hóa cấm kinh doanh…</w:t>
      </w:r>
    </w:p>
    <w:p w14:paraId="4D955188" w14:textId="14DA904E" w:rsidR="00826590" w:rsidRPr="00ED5E38" w:rsidRDefault="0082659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Đây là những khó khăn chủ yếu trong lĩnh vực quản lý ngoại thương cần có phương án hướng dẫn cụ thể để các địa phương thực hiện thông suốt,</w:t>
      </w:r>
      <w:r w:rsidR="003B5A15" w:rsidRPr="003B5A15">
        <w:rPr>
          <w:noProof/>
          <w:color w:val="000000" w:themeColor="text1"/>
          <w:sz w:val="26"/>
          <w:szCs w:val="26"/>
          <w:lang w:val="vi-VN"/>
        </w:rPr>
        <w:t xml:space="preserve"> </w:t>
      </w:r>
      <w:r w:rsidRPr="00ED5E38">
        <w:rPr>
          <w:noProof/>
          <w:color w:val="000000" w:themeColor="text1"/>
          <w:sz w:val="26"/>
          <w:szCs w:val="26"/>
          <w:lang w:val="vi-VN"/>
        </w:rPr>
        <w:t xml:space="preserve">thống nhất. Bên </w:t>
      </w:r>
      <w:r w:rsidRPr="00ED5E38">
        <w:rPr>
          <w:noProof/>
          <w:color w:val="000000" w:themeColor="text1"/>
          <w:sz w:val="26"/>
          <w:szCs w:val="26"/>
          <w:lang w:val="vi-VN"/>
        </w:rPr>
        <w:lastRenderedPageBreak/>
        <w:t>cạnh đó hệ thống pháp luật về quản lý ngoại thương cần tiếp tục rà soát, đánh giá và đề xuất tháo gỡ, xử lý đồng thời với việc tiếp tục đẩy mạnh phân quyền, phân cấp trong trường hợp cần thiết để bảo đảm nguyên tắc phân quyền, phân cấp triệt để, thống nhất với chủ trương chung, phù hợp với năng lực, nhu cầu của địa phương.</w:t>
      </w:r>
    </w:p>
    <w:p w14:paraId="7AD18A79" w14:textId="66D97134" w:rsidR="00826590" w:rsidRPr="00ED5E38" w:rsidRDefault="00826590" w:rsidP="00ED5E38">
      <w:pPr>
        <w:shd w:val="clear" w:color="auto" w:fill="FFFFFF"/>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Trên cơ sở đó, Bộ Công Thương thực hiện đánh giá tác động đối với nội dung dự kiến thực hiện phân quyền thêm tại Luật Quản lý ngoại thương.</w:t>
      </w:r>
    </w:p>
    <w:p w14:paraId="1E315EB0" w14:textId="77777777" w:rsidR="00D53293" w:rsidRPr="00ED5E38" w:rsidRDefault="00D53293" w:rsidP="00D31383">
      <w:pPr>
        <w:pStyle w:val="Heading1"/>
      </w:pPr>
      <w:r w:rsidRPr="00ED5E38">
        <w:t>1.2. Mục tiêu xây dựng</w:t>
      </w:r>
    </w:p>
    <w:p w14:paraId="670A59EE" w14:textId="1215BC85" w:rsidR="00D53293" w:rsidRPr="00ED5E38" w:rsidRDefault="00D53293" w:rsidP="00ED5E38">
      <w:pPr>
        <w:tabs>
          <w:tab w:val="right" w:leader="dot" w:pos="7920"/>
        </w:tabs>
        <w:spacing w:before="120" w:after="120" w:line="340" w:lineRule="exact"/>
        <w:ind w:firstLine="720"/>
        <w:jc w:val="both"/>
        <w:rPr>
          <w:noProof/>
          <w:color w:val="000000" w:themeColor="text1"/>
          <w:sz w:val="26"/>
          <w:szCs w:val="26"/>
          <w:lang w:val="vi-VN"/>
        </w:rPr>
      </w:pPr>
      <w:r w:rsidRPr="00ED5E38">
        <w:rPr>
          <w:bCs/>
          <w:noProof/>
          <w:color w:val="000000" w:themeColor="text1"/>
          <w:sz w:val="26"/>
          <w:szCs w:val="26"/>
          <w:lang w:val="vi-VN"/>
        </w:rPr>
        <w:t xml:space="preserve">- Thể chế hóa chủ trương của Đảng tại  Nghị quyết </w:t>
      </w:r>
      <w:r w:rsidR="003B5A15" w:rsidRPr="003B5A15">
        <w:rPr>
          <w:noProof/>
          <w:color w:val="000000" w:themeColor="text1"/>
          <w:sz w:val="26"/>
          <w:szCs w:val="26"/>
          <w:lang w:val="vi-VN"/>
        </w:rPr>
        <w:t>số</w:t>
      </w:r>
      <w:r w:rsidRPr="00ED5E38">
        <w:rPr>
          <w:noProof/>
          <w:color w:val="000000" w:themeColor="text1"/>
          <w:sz w:val="26"/>
          <w:szCs w:val="26"/>
          <w:lang w:val="vi-VN"/>
        </w:rPr>
        <w:t xml:space="preserve"> 60-NQ/TW ngày 12/4/2025 của Hội nghị lần thứ 11 Ban </w:t>
      </w:r>
      <w:r w:rsidR="00874827" w:rsidRPr="00874827">
        <w:rPr>
          <w:noProof/>
          <w:color w:val="000000" w:themeColor="text1"/>
          <w:sz w:val="26"/>
          <w:szCs w:val="26"/>
          <w:lang w:val="vi-VN"/>
        </w:rPr>
        <w:t>C</w:t>
      </w:r>
      <w:r w:rsidRPr="00ED5E38">
        <w:rPr>
          <w:noProof/>
          <w:color w:val="000000" w:themeColor="text1"/>
          <w:sz w:val="26"/>
          <w:szCs w:val="26"/>
          <w:lang w:val="vi-VN"/>
        </w:rPr>
        <w:t xml:space="preserve">hấp hành Trung ương Đảng khoá XIII; Kết luận số 127-KL/TW ngày 28/02/2025, Kết luận số 130-KL/TW ngày 14/3/2025, Kết luận số 137-KL/TW ngày 28/3/2025 của Bộ Chính trị, Ban Bí thư về việc sắp xếp đơn vị hành chính các cấp và xây dựng mô hình tổ chức chính quyền địa phương 02 cấp, Kết luận số 157-KL/TW ngày 25/5/2025 của Bộ Chính trị về sắp xếp tổ chức bộ máy, đơn vị hành chính, cụ thể hóa nhiệm vụ theo quy định của Luật Tổ chức </w:t>
      </w:r>
      <w:r w:rsidR="00874827" w:rsidRPr="00874827">
        <w:rPr>
          <w:noProof/>
          <w:color w:val="000000" w:themeColor="text1"/>
          <w:sz w:val="26"/>
          <w:szCs w:val="26"/>
          <w:lang w:val="vi-VN"/>
        </w:rPr>
        <w:t>C</w:t>
      </w:r>
      <w:r w:rsidRPr="00ED5E38">
        <w:rPr>
          <w:noProof/>
          <w:color w:val="000000" w:themeColor="text1"/>
          <w:sz w:val="26"/>
          <w:szCs w:val="26"/>
          <w:lang w:val="vi-VN"/>
        </w:rPr>
        <w:t xml:space="preserve">hính phủ 2025, Điều 54 Luật Tổ chức </w:t>
      </w:r>
      <w:r w:rsidR="00874827" w:rsidRPr="00874827">
        <w:rPr>
          <w:noProof/>
          <w:color w:val="000000" w:themeColor="text1"/>
          <w:sz w:val="26"/>
          <w:szCs w:val="26"/>
          <w:lang w:val="vi-VN"/>
        </w:rPr>
        <w:t>C</w:t>
      </w:r>
      <w:r w:rsidRPr="00ED5E38">
        <w:rPr>
          <w:noProof/>
          <w:color w:val="000000" w:themeColor="text1"/>
          <w:sz w:val="26"/>
          <w:szCs w:val="26"/>
          <w:lang w:val="vi-VN"/>
        </w:rPr>
        <w:t xml:space="preserve">hính quyền địa phương 2025, đẩy mạnh việc giao quyền cho chính quyền địa phương với phương châm “địa phương quyết, địa phương làm, địa phương chịu trách nhiệm”, thay đổi mạnh mẽ “thực tiễn quản lý xã hội bằng biện pháp quản trị quốc gia”. </w:t>
      </w:r>
    </w:p>
    <w:p w14:paraId="756A503A" w14:textId="77777777" w:rsidR="00D53293" w:rsidRPr="00ED5E38" w:rsidRDefault="00D53293" w:rsidP="00ED5E38">
      <w:pPr>
        <w:widowControl w:val="0"/>
        <w:tabs>
          <w:tab w:val="left" w:pos="1134"/>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Đẩy mạnh việc đề xuất phân cấp phân quyền theo đúng tinh thần chỉ đạo của Bộ Chính trị tại Kết luận số 155 và Kế hoạch 447 và các chỉ đạo của Chính phủ, Thủ tướng Chính phủ;</w:t>
      </w:r>
    </w:p>
    <w:p w14:paraId="0A94C8B2" w14:textId="77777777" w:rsidR="00D53293" w:rsidRPr="00ED5E38" w:rsidRDefault="00D53293" w:rsidP="00ED5E38">
      <w:pPr>
        <w:widowControl w:val="0"/>
        <w:tabs>
          <w:tab w:val="left" w:pos="1134"/>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Đảm bảo các quy định thẩm quyền của chính quyền địa phương trong phạm vi quản lý nhà nước của Bộ Công Thương phù hợp với mô hình chính quyền địa phương hai cấp; cụ thể hóa nguyên tắc chính quyền địa phương chủ động quyết định, tổ chức thực hiện và chịu trách nhiệm về nhiệm vụ, quyền hạn được phân quyền.</w:t>
      </w:r>
    </w:p>
    <w:p w14:paraId="08E3FF74" w14:textId="760201D7" w:rsidR="00D53293" w:rsidRPr="00ED5E38" w:rsidRDefault="00D53293" w:rsidP="00ED5E38">
      <w:pPr>
        <w:widowControl w:val="0"/>
        <w:tabs>
          <w:tab w:val="left" w:pos="1134"/>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 Thực hiện phân cấp, phân định thẩm quyền, nhiệm vụ bảo đảm hoạt động bình thường, liên tục, thông suốt của bộ máy nhà nước và toàn xã hội, bảo đảm các quyền và lợi ích hợp pháp của người dân, doanh nghiệp. Đồng thời, nhằm tạo cơ sở pháp lý thực hiện việc sắp xếp tổ chức chính quyền hai cấp ở địa phương theo tinh thần </w:t>
      </w:r>
      <w:r w:rsidRPr="00ED5E38">
        <w:rPr>
          <w:i/>
          <w:noProof/>
          <w:color w:val="000000" w:themeColor="text1"/>
          <w:sz w:val="26"/>
          <w:szCs w:val="26"/>
          <w:lang w:val="vi-VN"/>
        </w:rPr>
        <w:t>“vừa chạy vừa xếp hàng”,</w:t>
      </w:r>
      <w:r w:rsidRPr="00ED5E38">
        <w:rPr>
          <w:noProof/>
          <w:color w:val="000000" w:themeColor="text1"/>
          <w:sz w:val="26"/>
          <w:szCs w:val="26"/>
          <w:lang w:val="vi-VN"/>
        </w:rPr>
        <w:t xml:space="preserve"> bảo đảm chủ trương của Đảng, các quyết định về sắp xếp tổ chức bộ máy nhà nước của cấp có thẩm quyền được triển khai nhanh nhất, thuận lợi nhất sau khi được thông qua.</w:t>
      </w:r>
    </w:p>
    <w:p w14:paraId="12C10277" w14:textId="77777777" w:rsidR="00D53293" w:rsidRPr="00ED5E38" w:rsidRDefault="00D53293" w:rsidP="00ED5E38">
      <w:pPr>
        <w:widowControl w:val="0"/>
        <w:tabs>
          <w:tab w:val="left" w:pos="1134"/>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Đảm bảo thực hiện nghiêm nguyên tắc chung: Xác định rõ trách nhiệm của Bộ trưởng, Thủ trưởng cơ quan ngang bộ đối với ngành, lĩnh vực được phân công quản lý,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p>
    <w:p w14:paraId="460D995B" w14:textId="51489848" w:rsidR="00D53293" w:rsidRPr="00ED5E38" w:rsidRDefault="00D53293" w:rsidP="00ED5E38">
      <w:pPr>
        <w:spacing w:before="120" w:after="120" w:line="340" w:lineRule="exact"/>
        <w:ind w:firstLine="720"/>
        <w:jc w:val="both"/>
        <w:rPr>
          <w:noProof/>
          <w:color w:val="000000" w:themeColor="text1"/>
          <w:sz w:val="26"/>
          <w:szCs w:val="26"/>
          <w:lang w:val="vi-VN"/>
        </w:rPr>
      </w:pPr>
      <w:r w:rsidRPr="00ED5E38">
        <w:rPr>
          <w:b/>
          <w:noProof/>
          <w:color w:val="000000" w:themeColor="text1"/>
          <w:sz w:val="26"/>
          <w:szCs w:val="26"/>
          <w:lang w:val="vi-VN"/>
        </w:rPr>
        <w:t xml:space="preserve">- </w:t>
      </w:r>
      <w:r w:rsidRPr="00ED5E38">
        <w:rPr>
          <w:rStyle w:val="Strong"/>
          <w:b w:val="0"/>
          <w:noProof/>
          <w:color w:val="000000" w:themeColor="text1"/>
          <w:sz w:val="26"/>
          <w:szCs w:val="26"/>
          <w:lang w:val="vi-VN"/>
        </w:rPr>
        <w:t>Tăng cường hiệu lực quản lý của Nhà nước:</w:t>
      </w:r>
      <w:r w:rsidRPr="00ED5E38">
        <w:rPr>
          <w:noProof/>
          <w:color w:val="000000" w:themeColor="text1"/>
          <w:sz w:val="26"/>
          <w:szCs w:val="26"/>
          <w:lang w:val="vi-VN"/>
        </w:rPr>
        <w:t xml:space="preserve"> Đảm bảo các quy định trong luật không chỉ rõ ràng mà còn thực thi hiệu quả, phục vụ tốt hơn mục tiêu phát triển kinh tế </w:t>
      </w:r>
      <w:r w:rsidRPr="00ED5E38">
        <w:rPr>
          <w:noProof/>
          <w:color w:val="000000" w:themeColor="text1"/>
          <w:sz w:val="26"/>
          <w:szCs w:val="26"/>
          <w:lang w:val="vi-VN"/>
        </w:rPr>
        <w:lastRenderedPageBreak/>
        <w:t>- xã hội, bảo vệ quyền và lợi ích của mọi thành phần kinh tế, coi lợi ích người dân là trọng tâm, đòn bẩy cho động lực tăng trưởng và phát triển.</w:t>
      </w:r>
    </w:p>
    <w:p w14:paraId="7D6FAADA" w14:textId="77777777" w:rsidR="00ED5C78" w:rsidRPr="008D1468" w:rsidRDefault="00ED5C78" w:rsidP="006400D7">
      <w:pPr>
        <w:pStyle w:val="Heading1"/>
      </w:pPr>
      <w:r w:rsidRPr="008D1468">
        <w:t>2. Chính sách 2: Về tháo gỡ các khó khăn, vướng mắc có nguyên nhân từ pháp luật</w:t>
      </w:r>
    </w:p>
    <w:p w14:paraId="3FFA6707" w14:textId="6DE39800" w:rsidR="00ED5C78" w:rsidRPr="00ED5E38" w:rsidRDefault="00ED5C78" w:rsidP="00ED5E38">
      <w:pPr>
        <w:pStyle w:val="Heading3"/>
        <w:ind w:firstLine="720"/>
        <w:rPr>
          <w:rFonts w:cs="Times New Roman"/>
          <w:i w:val="0"/>
          <w:iCs/>
          <w:noProof/>
          <w:color w:val="000000" w:themeColor="text1"/>
          <w:lang w:val="vi-VN"/>
        </w:rPr>
      </w:pPr>
      <w:r w:rsidRPr="00ED5E38">
        <w:rPr>
          <w:rFonts w:cs="Times New Roman"/>
          <w:i w:val="0"/>
          <w:iCs/>
          <w:noProof/>
          <w:color w:val="000000" w:themeColor="text1"/>
          <w:lang w:val="vi-VN"/>
        </w:rPr>
        <w:t>2.1. Bối cảnh xây dựng</w:t>
      </w:r>
      <w:r w:rsidR="00B35916" w:rsidRPr="00ED5E38">
        <w:rPr>
          <w:rFonts w:cs="Times New Roman"/>
          <w:i w:val="0"/>
          <w:iCs/>
          <w:noProof/>
          <w:color w:val="000000" w:themeColor="text1"/>
          <w:lang w:val="vi-VN"/>
        </w:rPr>
        <w:t xml:space="preserve"> chính sách</w:t>
      </w:r>
    </w:p>
    <w:p w14:paraId="7BB97C1F" w14:textId="591DC876" w:rsidR="00826590" w:rsidRPr="00ED5E38" w:rsidRDefault="00826590" w:rsidP="006400D7">
      <w:pPr>
        <w:pStyle w:val="Heading1"/>
      </w:pPr>
      <w:r w:rsidRPr="00ED5E38">
        <w:t>2.1.1. Tháo gỡ khó khăn, vướng mắc các quy định của Luật Thương mại</w:t>
      </w:r>
    </w:p>
    <w:p w14:paraId="23C8450B" w14:textId="6C929CBF" w:rsidR="00581F21" w:rsidRPr="00ED5E38" w:rsidRDefault="00581F21" w:rsidP="00BA0E6B">
      <w:pPr>
        <w:pStyle w:val="Heading2"/>
      </w:pPr>
      <w:r w:rsidRPr="00ED5E38">
        <w:t>2.1.1.1. Vấn đề 1: Tháo gỡ khó khăn, điểm nghẽn trong quy định về hàng giả trong Luật Thương mại</w:t>
      </w:r>
    </w:p>
    <w:p w14:paraId="1DF6A90A" w14:textId="77777777" w:rsidR="002165C0" w:rsidRPr="00ED5E38" w:rsidRDefault="002165C0" w:rsidP="00ED5E38">
      <w:pPr>
        <w:pStyle w:val="Heading3"/>
        <w:ind w:firstLine="720"/>
        <w:rPr>
          <w:rFonts w:cs="Times New Roman"/>
          <w:iCs/>
          <w:noProof/>
          <w:color w:val="000000" w:themeColor="text1"/>
          <w:lang w:val="vi-VN"/>
        </w:rPr>
      </w:pPr>
      <w:r w:rsidRPr="00ED5E38">
        <w:rPr>
          <w:rFonts w:cs="Times New Roman"/>
          <w:iCs/>
          <w:noProof/>
          <w:color w:val="000000" w:themeColor="text1"/>
          <w:lang w:val="vi-VN"/>
        </w:rPr>
        <w:t>a) Bối cảnh quốc tế</w:t>
      </w:r>
    </w:p>
    <w:p w14:paraId="1ABFAAD8"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Trong bối cảnh toàn cầu hóa sâu rộng và sự phát triển nhanh chóng của thương mại điện tử, hoạt động sản xuất, buôn bán hàng giả đã và đang trở thành một trong những thách thức nghiêm trọng đối với sự phát triển bền vững của nền kinh tế toàn cầu. Hàng giả không còn là hiện tượng mang tính cục bộ hay giới hạn trong một số nhóm hàng tiêu dùng đơn giản, mà đã lan rộng sang nhiều lĩnh vực then chốt như dược phẩm, mỹ phẩm, linh kiện điện tử, phụ tùng ô tô, thiết bị y tế và hàng hóa công nghệ cao, với quy mô và mức độ tinh vi ngày càng gia tăng. Bên cạnh đó, với sự bùng nổ của lĩnh vực thương mại điện tử, hoạt động sản xuất và buôn bán hàng giả có chiều hướng gia tăng và diễn biến phức tạp với sự thay đổi đáng kể về phương thức, phạm vi và mức độ tổ chức. </w:t>
      </w:r>
    </w:p>
    <w:p w14:paraId="4609DB83"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Vào năm 2017, Tổ chức Y tế Thế giới (WHO) đã ước tính rằng cứ 10 loại thuốc ở các nước thu nhập thấp và trung bình thì có 1 loại không đạt tiêu chuẩn kiểm soát chất lượng, cho thấy sản phẩm đó kém chất lượng hoặc bị làm giả. Điều này có thể dẫn đến những rủi ro nghiêm trọng về sức khỏe, thất bại trong điều trị và thậm chí tử vong. Ước tính mỗi năm, các quốc gia trên thế giới thiệt hại khoảng 30,5 tỷ USD do thuốc kém chất lượng và thuốc giả, bao gồm chi phí điều trị không hiệu quả, gia tăng gánh nặng y tế, thất thoát ngân sách và suy giảm năng suất lao động</w:t>
      </w:r>
      <w:r w:rsidRPr="00ED5E38">
        <w:rPr>
          <w:rStyle w:val="FootnoteReference"/>
          <w:rFonts w:eastAsia="DengXian Light"/>
          <w:noProof/>
          <w:color w:val="000000" w:themeColor="text1"/>
          <w:sz w:val="26"/>
          <w:szCs w:val="26"/>
          <w:lang w:val="vi-VN"/>
        </w:rPr>
        <w:footnoteReference w:id="3"/>
      </w:r>
      <w:r w:rsidRPr="00ED5E38">
        <w:rPr>
          <w:noProof/>
          <w:color w:val="000000" w:themeColor="text1"/>
          <w:sz w:val="26"/>
          <w:szCs w:val="26"/>
          <w:lang w:val="vi-VN"/>
        </w:rPr>
        <w:t xml:space="preserve">. </w:t>
      </w:r>
    </w:p>
    <w:p w14:paraId="03370F8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Tại Châu Âu, các báo cáo do Tổ chức Hợp tác và Phát triển Kinh tế (OECD) phối hợp với Văn phòng Sở hữu trí tuệ Liên minh châu Âu (EUIPO) đã ước tính rằng thương mại quốc tế các sản phẩm giả mạo trị giá tới 509 tỷ USD vào năm 2016, chiếm tới 3,3% thương mại thế giới. Châu Âu thậm chí còn đối mặt với rủi ro cao hơn: khoảng 6,8% hàng nhập khẩu của EU năm 2016 (tương đương 121 tỷ euro) là hàng giả, tăng từ khoảng 5% năm 2013. Theo số liệu được thống kê, năm 2019 gần 6% tổng hàng nhập khẩu của EU là hàng giả (khoảng 119 tỷ euro) theo Ủy ban châu Âu</w:t>
      </w:r>
      <w:r w:rsidRPr="00ED5E38">
        <w:rPr>
          <w:rStyle w:val="FootnoteReference"/>
          <w:rFonts w:eastAsia="DengXian Light"/>
          <w:noProof/>
          <w:color w:val="000000" w:themeColor="text1"/>
          <w:sz w:val="26"/>
          <w:szCs w:val="26"/>
          <w:lang w:val="vi-VN"/>
        </w:rPr>
        <w:footnoteReference w:id="4"/>
      </w:r>
      <w:r w:rsidRPr="00ED5E38">
        <w:rPr>
          <w:noProof/>
          <w:color w:val="000000" w:themeColor="text1"/>
          <w:sz w:val="26"/>
          <w:szCs w:val="26"/>
          <w:lang w:val="vi-VN"/>
        </w:rPr>
        <w:t xml:space="preserve">. Những con số này thậm chí còn chưa tính đến các sản phẩm giả mạo được sản xuất và bán trong thị trường nội địa của EU hoặc hàng hóa kỹ thuật số vi phạm bản quyền. Không dừng lại ở đó, theo báo cáo của OECD và EUIPO, vào năm 2021, giá trị thương mại quốc tế của hàng giả và vi </w:t>
      </w:r>
      <w:r w:rsidRPr="00ED5E38">
        <w:rPr>
          <w:noProof/>
          <w:color w:val="000000" w:themeColor="text1"/>
          <w:sz w:val="26"/>
          <w:szCs w:val="26"/>
          <w:lang w:val="vi-VN"/>
        </w:rPr>
        <w:lastRenderedPageBreak/>
        <w:t>phạm bản quyền</w:t>
      </w:r>
      <w:r w:rsidRPr="00ED5E38">
        <w:rPr>
          <w:rStyle w:val="FootnoteReference"/>
          <w:rFonts w:eastAsia="DengXian Light"/>
          <w:noProof/>
          <w:color w:val="000000" w:themeColor="text1"/>
          <w:sz w:val="26"/>
          <w:szCs w:val="26"/>
          <w:lang w:val="vi-VN"/>
        </w:rPr>
        <w:footnoteReference w:id="5"/>
      </w:r>
      <w:r w:rsidRPr="00ED5E38">
        <w:rPr>
          <w:noProof/>
          <w:color w:val="000000" w:themeColor="text1"/>
          <w:sz w:val="26"/>
          <w:szCs w:val="26"/>
          <w:lang w:val="vi-VN"/>
        </w:rPr>
        <w:t xml:space="preserve"> lên tới 467 tỷ USD, chiếm tới 2,3% tổng thương mại toàn cầu</w:t>
      </w:r>
      <w:r w:rsidRPr="00ED5E38">
        <w:rPr>
          <w:rStyle w:val="FootnoteReference"/>
          <w:rFonts w:eastAsia="DengXian Light"/>
          <w:noProof/>
          <w:color w:val="000000" w:themeColor="text1"/>
          <w:sz w:val="26"/>
          <w:szCs w:val="26"/>
          <w:lang w:val="vi-VN"/>
        </w:rPr>
        <w:footnoteReference w:id="6"/>
      </w:r>
      <w:r w:rsidRPr="00ED5E38">
        <w:rPr>
          <w:noProof/>
          <w:color w:val="000000" w:themeColor="text1"/>
          <w:sz w:val="26"/>
          <w:szCs w:val="26"/>
          <w:lang w:val="vi-VN"/>
        </w:rPr>
        <w:t>. Quy mô này cho thấy sự tinh vi của hoạt động buôn bán hàng giả mà cũng như sự ăn sâu của nó trong nền kinh tế toàn cầu. Riêng tại Liên minh châu Âu, hàng giả được xác định chiếm khoảng 4,7% tổng giá trị hàng hóa nhập khẩu, phản ánh mức độ xâm nhập sâu rộng của hàng giả ngay cả tại những thị trường có hệ thống pháp luật và kiểm soát phát triển cao. Hàng giả và </w:t>
      </w:r>
      <w:hyperlink r:id="rId8" w:tgtFrame="_blank" w:tooltip="hàng kém chất lượng" w:history="1">
        <w:r w:rsidRPr="00ED5E38">
          <w:rPr>
            <w:rStyle w:val="Hyperlink"/>
            <w:noProof/>
            <w:color w:val="000000" w:themeColor="text1"/>
            <w:sz w:val="26"/>
            <w:szCs w:val="26"/>
            <w:lang w:val="vi-VN"/>
          </w:rPr>
          <w:t>hàng kém chất lượng</w:t>
        </w:r>
      </w:hyperlink>
      <w:r w:rsidRPr="00ED5E38">
        <w:rPr>
          <w:noProof/>
          <w:color w:val="000000" w:themeColor="text1"/>
          <w:sz w:val="26"/>
          <w:szCs w:val="26"/>
          <w:lang w:val="vi-VN"/>
        </w:rPr>
        <w:t xml:space="preserve"> tăng mạnh tại các nước EU với tình trạng đáng báo động vào năm 2023 do có tới 3,4 tỉ euro hàng giả bị tịch thu, tăng 77% so với năm trước. </w:t>
      </w:r>
    </w:p>
    <w:p w14:paraId="725B66D6"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Hàng giả không chỉ gây thất thoát doanh thu cho doanh nghiệp mà còn làm suy yếu ngân sách nhà nước, phá hủy việc làm, xói mòn niềm tin thị trường và đe dọa trực tiếp đến sức khỏe cộng đồng. Theo các báo cáo của OECD và EUIPO, ước tính các nền kinh tế của các nước EU thiệt hại hằng năm lên tới 60 tỉ euro và khiến mất gần 434.000 việc làm</w:t>
      </w:r>
      <w:r w:rsidRPr="00ED5E38">
        <w:rPr>
          <w:rStyle w:val="FootnoteReference"/>
          <w:rFonts w:eastAsia="DengXian Light"/>
          <w:noProof/>
          <w:color w:val="000000" w:themeColor="text1"/>
          <w:sz w:val="26"/>
          <w:szCs w:val="26"/>
          <w:lang w:val="vi-VN"/>
        </w:rPr>
        <w:footnoteReference w:id="7"/>
      </w:r>
      <w:r w:rsidRPr="00ED5E38">
        <w:rPr>
          <w:noProof/>
          <w:color w:val="000000" w:themeColor="text1"/>
          <w:sz w:val="26"/>
          <w:szCs w:val="26"/>
          <w:lang w:val="vi-VN"/>
        </w:rPr>
        <w:t>. Ước tính 5,8% tổng số hàng nhập khẩu vào EU là hàng giả, trị giá khoảng 119 tỷ euro giá trị kinh tế bị mất</w:t>
      </w:r>
      <w:r w:rsidRPr="00ED5E38">
        <w:rPr>
          <w:rStyle w:val="FootnoteReference"/>
          <w:rFonts w:eastAsia="DengXian Light"/>
          <w:noProof/>
          <w:color w:val="000000" w:themeColor="text1"/>
          <w:sz w:val="26"/>
          <w:szCs w:val="26"/>
          <w:lang w:val="vi-VN"/>
        </w:rPr>
        <w:footnoteReference w:id="8"/>
      </w:r>
      <w:r w:rsidRPr="00ED5E38">
        <w:rPr>
          <w:noProof/>
          <w:color w:val="000000" w:themeColor="text1"/>
          <w:sz w:val="26"/>
          <w:szCs w:val="26"/>
          <w:lang w:val="vi-VN"/>
        </w:rPr>
        <w:t>. Các ngành công nghiệp của EU mất hơn 50 tỷ euro doanh thu trực tiếp hàng năm do cạnh tranh từ hàng giả (hơn 90 tỷ euro nếu tính cả tổn thất gián tiếp trong chuỗi cung ứng); các quốc gia mất khoảng 15-16 tỷ Euro doanh thu thuế (VAT chưa nộp, thuế nhập khẩu và đóng góp xã hội) mỗi năm do buôn bán hàng giả. Ước tính hơn 670.000 việc làm trên khắp châu Âu bị mất đi do tác động của hàng giả đối với các ngành công nghiệp hợp pháp</w:t>
      </w:r>
      <w:r w:rsidRPr="00ED5E38">
        <w:rPr>
          <w:rStyle w:val="FootnoteReference"/>
          <w:rFonts w:eastAsia="DengXian Light"/>
          <w:noProof/>
          <w:color w:val="000000" w:themeColor="text1"/>
          <w:sz w:val="26"/>
          <w:szCs w:val="26"/>
          <w:lang w:val="vi-VN"/>
        </w:rPr>
        <w:footnoteReference w:id="9"/>
      </w:r>
      <w:r w:rsidRPr="00ED5E38">
        <w:rPr>
          <w:noProof/>
          <w:color w:val="000000" w:themeColor="text1"/>
          <w:sz w:val="26"/>
          <w:szCs w:val="26"/>
          <w:lang w:val="vi-VN"/>
        </w:rPr>
        <w:t>. Theo đánh giá của EUIPO, hàng giả chiếm khoảng 5% tổng số hàng hóa nhập khẩu vào EU và ở một số lĩnh vực như thời trang xa xỉ, điện tử và dược mỹ phẩm, con số này có thể lên tới 40%. Do tính chất phức tạp xuyên biên giới, việc xử lý đòi hỏi sự phối hợp chặt chẽ của nhiều bên: cơ quan thực thi pháp luật quốc gia, cơ quan hải quan biên giới, các nền tảng phân phối trực tuyến, chủ sở hữu trí tuệ và người tiêu dùng.</w:t>
      </w:r>
    </w:p>
    <w:p w14:paraId="378513CF"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Không chỉ các quốc gia trong Liên minh Châu Âu EU, hiệp hội các nhà sản xuất quốc gia ước tính hàng giả đã làm giảm gần 131 tỷ đô la cho nền kinh tế Mỹ trong năm 2019. Điều đó có nghĩa là mất 22,3 tỷ đô la thu nhập lao động và hơn 325.000 việc làm bị mất. Doanh thu thuế liên bang mất 5,6 tỷ đô la, và thu thuế của tiểu bang và địa phương mất gần 4 tỷ đô la</w:t>
      </w:r>
      <w:r w:rsidRPr="00ED5E38">
        <w:rPr>
          <w:rStyle w:val="FootnoteReference"/>
          <w:rFonts w:eastAsia="DengXian Light"/>
          <w:noProof/>
          <w:color w:val="000000" w:themeColor="text1"/>
          <w:sz w:val="26"/>
          <w:szCs w:val="26"/>
          <w:lang w:val="vi-VN"/>
        </w:rPr>
        <w:footnoteReference w:id="10"/>
      </w:r>
      <w:r w:rsidRPr="00ED5E38">
        <w:rPr>
          <w:noProof/>
          <w:color w:val="000000" w:themeColor="text1"/>
          <w:sz w:val="26"/>
          <w:szCs w:val="26"/>
          <w:lang w:val="vi-VN"/>
        </w:rPr>
        <w:t>.</w:t>
      </w:r>
    </w:p>
    <w:p w14:paraId="0755C48B" w14:textId="77777777" w:rsidR="002165C0" w:rsidRPr="00B74600" w:rsidRDefault="002165C0" w:rsidP="00ED5E38">
      <w:pPr>
        <w:tabs>
          <w:tab w:val="right" w:leader="dot" w:pos="7920"/>
        </w:tabs>
        <w:spacing w:before="120" w:after="120" w:line="340" w:lineRule="exact"/>
        <w:ind w:firstLine="720"/>
        <w:jc w:val="both"/>
        <w:rPr>
          <w:noProof/>
          <w:color w:val="000000" w:themeColor="text1"/>
          <w:spacing w:val="4"/>
          <w:sz w:val="26"/>
          <w:szCs w:val="26"/>
          <w:lang w:val="vi-VN"/>
        </w:rPr>
      </w:pPr>
      <w:r w:rsidRPr="00B74600">
        <w:rPr>
          <w:noProof/>
          <w:color w:val="000000" w:themeColor="text1"/>
          <w:spacing w:val="4"/>
          <w:sz w:val="26"/>
          <w:szCs w:val="26"/>
          <w:lang w:val="vi-VN"/>
        </w:rPr>
        <w:t xml:space="preserve">Vấn nạn hàng giả đang trở thành một “căn bệnh” mãn tính của nền kinh tế toàn cầu, gây ra những hệ lụy nghiêm trọng không chỉ đối với các doanh nghiệp sản xuất chân chính mà còn làm xói mòn sâu sắc lòng tin của hàng triệu người tiêu dùng. Đây không chỉ là một cuộc chiến kinh tế đơn thuần mà còn là mối đe dọa trực tiếp </w:t>
      </w:r>
      <w:r w:rsidRPr="00B74600">
        <w:rPr>
          <w:noProof/>
          <w:color w:val="000000" w:themeColor="text1"/>
          <w:spacing w:val="4"/>
          <w:sz w:val="26"/>
          <w:szCs w:val="26"/>
          <w:lang w:val="vi-VN"/>
        </w:rPr>
        <w:lastRenderedPageBreak/>
        <w:t>đến sức khỏe cộng đồng, sự công bằng trong cạnh tranh và động lực đổi mới của cả một quốc gia.</w:t>
      </w:r>
    </w:p>
    <w:p w14:paraId="0061C1E5"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Để ngăn chặn hàng giả và hàng kém chất lượng, các quốc gia trên thế giới đã triển khai nhiều chiến dịch lớn chống hàng giả, trong đó nổi bật là các chiến dịch Chiến dịch OPSON – một chiến dịch quốc tế do Tổ chức Cảnh sát Hình sự Quốc tế (INTERPOL) và Cục Cảnh sát châu Âu (EUROPOL) thực hiện thường niên nhằm triệt phá các mạng lưới tội phạm sản xuất, kinh doanh thực phẩm và đồ uống giả, kém chất lượng trên toàn cầu. Mục tiêu của chiến dịch là bảo vệ sức khỏe người tiêu dùng, ngăn chặn hàng giả, hàng không đạt chuẩn và thu giữ hàng tấn thực phẩm giả mạo. Theo số liệu được cung cấp bởi INTERPOL, trung bình mỗi năm, hàng nghìn tấn thực phẩm giả bị thu giữ, hàng triệu lít đồ uống giả và kém chất lượng bị tịch thu. Các mặt hàng bị xử lý cũng rất đa dạng, từ dầu ăn</w:t>
      </w:r>
      <w:r w:rsidRPr="00ED5E38">
        <w:rPr>
          <w:rStyle w:val="FootnoteReference"/>
          <w:rFonts w:eastAsia="DengXian Light"/>
          <w:noProof/>
          <w:color w:val="000000" w:themeColor="text1"/>
          <w:sz w:val="26"/>
          <w:szCs w:val="26"/>
          <w:lang w:val="vi-VN"/>
        </w:rPr>
        <w:footnoteReference w:id="11"/>
      </w:r>
      <w:r w:rsidRPr="00ED5E38">
        <w:rPr>
          <w:noProof/>
          <w:color w:val="000000" w:themeColor="text1"/>
          <w:sz w:val="26"/>
          <w:szCs w:val="26"/>
          <w:lang w:val="vi-VN"/>
        </w:rPr>
        <w:t>, phụ gia thực phẩm</w:t>
      </w:r>
      <w:r w:rsidRPr="00ED5E38">
        <w:rPr>
          <w:rStyle w:val="FootnoteReference"/>
          <w:rFonts w:eastAsia="DengXian Light"/>
          <w:noProof/>
          <w:color w:val="000000" w:themeColor="text1"/>
          <w:sz w:val="26"/>
          <w:szCs w:val="26"/>
          <w:lang w:val="vi-VN"/>
        </w:rPr>
        <w:footnoteReference w:id="12"/>
      </w:r>
      <w:r w:rsidRPr="00ED5E38">
        <w:rPr>
          <w:noProof/>
          <w:color w:val="000000" w:themeColor="text1"/>
          <w:sz w:val="26"/>
          <w:szCs w:val="26"/>
          <w:lang w:val="vi-VN"/>
        </w:rPr>
        <w:t>, đồ uống có cồn</w:t>
      </w:r>
      <w:r w:rsidRPr="00ED5E38">
        <w:rPr>
          <w:rStyle w:val="FootnoteReference"/>
          <w:rFonts w:eastAsia="DengXian Light"/>
          <w:noProof/>
          <w:color w:val="000000" w:themeColor="text1"/>
          <w:sz w:val="26"/>
          <w:szCs w:val="26"/>
          <w:lang w:val="vi-VN"/>
        </w:rPr>
        <w:footnoteReference w:id="13"/>
      </w:r>
      <w:r w:rsidRPr="00ED5E38">
        <w:rPr>
          <w:noProof/>
          <w:color w:val="000000" w:themeColor="text1"/>
          <w:sz w:val="26"/>
          <w:szCs w:val="26"/>
          <w:lang w:val="vi-VN"/>
        </w:rPr>
        <w:t>, nước ngọt, gạo</w:t>
      </w:r>
      <w:r w:rsidRPr="00ED5E38">
        <w:rPr>
          <w:rStyle w:val="FootnoteReference"/>
          <w:rFonts w:eastAsia="DengXian Light"/>
          <w:noProof/>
          <w:color w:val="000000" w:themeColor="text1"/>
          <w:sz w:val="26"/>
          <w:szCs w:val="26"/>
          <w:lang w:val="vi-VN"/>
        </w:rPr>
        <w:footnoteReference w:id="14"/>
      </w:r>
      <w:r w:rsidRPr="00ED5E38">
        <w:rPr>
          <w:noProof/>
          <w:color w:val="000000" w:themeColor="text1"/>
          <w:sz w:val="26"/>
          <w:szCs w:val="26"/>
          <w:lang w:val="vi-VN"/>
        </w:rPr>
        <w:t>, thực phẩm chế biến</w:t>
      </w:r>
      <w:r w:rsidRPr="00ED5E38">
        <w:rPr>
          <w:rStyle w:val="FootnoteReference"/>
          <w:rFonts w:eastAsia="DengXian Light"/>
          <w:noProof/>
          <w:color w:val="000000" w:themeColor="text1"/>
          <w:sz w:val="26"/>
          <w:szCs w:val="26"/>
          <w:lang w:val="vi-VN"/>
        </w:rPr>
        <w:footnoteReference w:id="15"/>
      </w:r>
      <w:r w:rsidRPr="00ED5E38">
        <w:rPr>
          <w:noProof/>
          <w:color w:val="000000" w:themeColor="text1"/>
          <w:sz w:val="26"/>
          <w:szCs w:val="26"/>
          <w:lang w:val="vi-VN"/>
        </w:rPr>
        <w:t xml:space="preserve">, rau củ, trái cây... </w:t>
      </w:r>
    </w:p>
    <w:p w14:paraId="415826EA"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Theo số liệu được công khai, chỉ tính riêng trong Chiến dịch OPSON năm 2024, các cơ quan chức năng đã thu giữ 22.000 tấn thực phẩm và 850.000 lít đồ uống, với tổng trị giá khoảng 91 triệu euro (tương đương khoảng 2.811 tỷ đồng). Kết quả của chiến dịch năm 2024 bao gồm: 11 mạng lưới tội phạm bị triệt phá; 104 lệnh bắt giữ được ban hành; 184 lệnh khám xét được thực thi; 278 người bị chuyển hồ sơ sang cơ quan tư pháp; 5.821 đợt kiểm tra và thanh tra thực phẩm</w:t>
      </w:r>
      <w:r w:rsidRPr="00ED5E38">
        <w:rPr>
          <w:rStyle w:val="FootnoteReference"/>
          <w:rFonts w:eastAsia="DengXian Light"/>
          <w:noProof/>
          <w:color w:val="000000" w:themeColor="text1"/>
          <w:sz w:val="26"/>
          <w:szCs w:val="26"/>
          <w:lang w:val="vi-VN"/>
        </w:rPr>
        <w:footnoteReference w:id="16"/>
      </w:r>
      <w:r w:rsidRPr="00ED5E38">
        <w:rPr>
          <w:noProof/>
          <w:color w:val="000000" w:themeColor="text1"/>
          <w:sz w:val="26"/>
          <w:szCs w:val="26"/>
          <w:lang w:val="vi-VN"/>
        </w:rPr>
        <w:t>. Số lượng hàng hóa bị truy quét và thu giữ ngày càng gia tăng, trong Chiến dịch OPSON XIV (năm 2025), các cơ quan tham gia Chiến dịch OPSON XIV đã thu giữ 259.012 gói hàng, 1.416.168 lít đồ uống và 11.566.958 kg thực phẩm. Cũng trong chiến dịch này, vào năm 2025, đã có 631 cá nhân bị báo cáo cho các cơ quan tư pháp; 101 lệnh bắt giữ được ban hành; 13 nhóm tội phạm có tổ chức bị triệt phá; hàng hóa trị giá khoảng 95 triệu EUR bị thu giữ; 31.165 cuộc kiểm tra và thanh tra được thực hiện</w:t>
      </w:r>
      <w:r w:rsidRPr="00ED5E38">
        <w:rPr>
          <w:rStyle w:val="FootnoteReference"/>
          <w:rFonts w:eastAsia="DengXian Light"/>
          <w:noProof/>
          <w:color w:val="000000" w:themeColor="text1"/>
          <w:sz w:val="26"/>
          <w:szCs w:val="26"/>
          <w:lang w:val="vi-VN"/>
        </w:rPr>
        <w:footnoteReference w:id="17"/>
      </w:r>
      <w:r w:rsidRPr="00ED5E38">
        <w:rPr>
          <w:noProof/>
          <w:color w:val="000000" w:themeColor="text1"/>
          <w:sz w:val="26"/>
          <w:szCs w:val="26"/>
          <w:lang w:val="vi-VN"/>
        </w:rPr>
        <w:t xml:space="preserve">. Các vụ việc trong Chiến dịch OPSON một lần </w:t>
      </w:r>
      <w:r w:rsidRPr="00ED5E38">
        <w:rPr>
          <w:noProof/>
          <w:color w:val="000000" w:themeColor="text1"/>
          <w:sz w:val="26"/>
          <w:szCs w:val="26"/>
          <w:lang w:val="vi-VN"/>
        </w:rPr>
        <w:lastRenderedPageBreak/>
        <w:t xml:space="preserve">nữa cho thấy tình trạng hàng giả, hàng nhái và hàng kém chất lượng đang lan rộng trên quy mô toàn cầu. </w:t>
      </w:r>
    </w:p>
    <w:p w14:paraId="6DD9A5BD"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Không chỉ ảnh hưởng riêng đến kinh tế của một quốc gia hay một khu vực nhất định, hàng giả còn gây ra những thiệt hại mang tính hệ thống đối với thương mại toàn cầu. Hàng giả làm suy giảm nghiêm trọng hiệu quả của các hiệp định thương mại tự do và các cơ chế thuận lợi hóa thương mại. Các quốc gia buộc phải tăng cường kiểm tra, giám sát, áp dụng các biện pháp kiểm soát biên giới nghiêm ngặt hơn để ngăn chặn hàng giả, từ đó làm gia tăng chi phí giao dịch, kéo dài thời gian thông quan và ảnh hưởng tiêu cực đến dòng chảy thương mại hợp pháp. Điều này đặc biệt bất lợi đối với các nền kinh tế phụ thuộc nhiều vào xuất nhập khẩu và các chuỗi cung ứng toàn cầu, nơi tốc độ và độ tin cậy của thương mại là yếu tố then chốt quyết định năng lực cạnh tranh quốc gia.</w:t>
      </w:r>
    </w:p>
    <w:p w14:paraId="51B83DD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Đặc biệt, trong các lĩnh vực nhạy cảm như dược phẩm, thiết bị y tế, thực phẩm và sản phẩm liên quan đến an toàn con người, hàng giả không chỉ gây thiệt hại kinh tế mà còn tạo ra những rủi ro xã hội và nhân đạo nghiêm trọng. Các sự cố liên quan đến thuốc giả hoặc thiết bị y tế giả có thể dẫn đến khủng hoảng niềm tin trên thị trường quốc tế, kéo theo các biện pháp hạn chế thương mại, thu hồi sản phẩm quy mô lớn và tranh chấp pháp lý giữa các quốc gia, qua đó làm gia tăng bất ổn trong thương mại toàn cầu.</w:t>
      </w:r>
    </w:p>
    <w:p w14:paraId="242A5161"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Bên cạnh đó, khi hàng giả xâm nhập sâu vào thương mại xuyên biên giới, những hàng hóa này có thể phá vỡ cơ chế hình thành giá cả dựa trên chi phí thực, làm sai lệch tín hiệu thị trường và tạo ra một môi trường cạnh tranh bất bình đẳng, trong đó các doanh nghiệp tuân thủ pháp luật bị đặt vào thế bất lợi so với các chủ thể hoạt động phi pháp. Sự mất an toàn và thiếu minh bạch này làm giảm mức độ tin cậy giữa các đối tác thương mại quốc tế, buộc các doanh nghiệp phải tái cấu trúc chuỗi cung ứng theo hướng khép kín hoặc dịch chuyển sản xuất, từ đó làm gia tăng chi phí và giảm hiệu quả kinh tế tổng thể.</w:t>
      </w:r>
    </w:p>
    <w:p w14:paraId="0680C704"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Như vậy, thiệt hại do hàng giả gây ra đối với thương mại toàn cầu và các nền kinh tế không chỉ dừng lại ở con số tổn thất hàng trăm tỷ USD mỗi năm, mà còn thể hiện ở sự suy yếu của các nguyên tắc thương mại công bằng, sự gián đoạn chuỗi cung ứng, sự xói mòn niềm tin thị trường và những hệ lụy lâu dài đối với tăng trưởng, đổi mới sáng tạo và ổn định kinh tế - xã hội. Đây chính là lý do khiến phòng, chống hàng giả ngày càng được coi là một vấn đề không chỉ mang tính quản lý thị trường, mà còn là một ưu tiên chiến lược trong chính sách thương mại và phát triển của nhiều quốc gia trên thế giới.</w:t>
      </w:r>
    </w:p>
    <w:p w14:paraId="155F9097" w14:textId="77777777" w:rsidR="002165C0" w:rsidRPr="00ED5E38" w:rsidRDefault="002165C0" w:rsidP="00ED5E38">
      <w:pPr>
        <w:pStyle w:val="Heading3"/>
        <w:ind w:firstLine="720"/>
        <w:rPr>
          <w:rFonts w:cs="Times New Roman"/>
          <w:iCs/>
          <w:noProof/>
          <w:color w:val="000000" w:themeColor="text1"/>
          <w:lang w:val="vi-VN"/>
        </w:rPr>
      </w:pPr>
      <w:r w:rsidRPr="00ED5E38">
        <w:rPr>
          <w:rFonts w:cs="Times New Roman"/>
          <w:iCs/>
          <w:noProof/>
          <w:color w:val="000000" w:themeColor="text1"/>
          <w:lang w:val="vi-VN"/>
        </w:rPr>
        <w:t xml:space="preserve">b) Bối cảnh trong nước </w:t>
      </w:r>
    </w:p>
    <w:p w14:paraId="0E3AA3CF"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Vấn nạn sản xuất và buôn bán hàng giả tại Việt Nam đã và đang vượt ra ngoài phạm vi của một hiện tượng vi phạm pháp luật mà đã đặt ra thách thức nghiêm trọng đối với nền kinh tế, hoạt động sản xuất trong nước cũng như công tác quản lý nhà nước hiện nay. Hàng giả không còn xuất hiện đơn lẻ ở một số nhóm hàng truyền thống mà đã lan rộng sang nhiều lĩnh vực then chốt, từ thực phẩm, dược phẩm, sữa, thực phẩm chức </w:t>
      </w:r>
      <w:r w:rsidRPr="00ED5E38">
        <w:rPr>
          <w:noProof/>
          <w:color w:val="000000" w:themeColor="text1"/>
          <w:sz w:val="26"/>
          <w:szCs w:val="26"/>
          <w:lang w:val="vi-VN"/>
        </w:rPr>
        <w:lastRenderedPageBreak/>
        <w:t>năng, phân bón, vật tư nông nghiệp cho đến hàng tiêu dùng thiết yếu và các sản phẩm ảnh hưởng trực tiếp đến sức khỏe cộng đồng.</w:t>
      </w:r>
    </w:p>
    <w:p w14:paraId="7AAB0374" w14:textId="1D5AFF05"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Mỗi năm, số vụ việc bị xử phạt, truy tố liên quan đến hành vi sản xuất, buôn bán hàng giả ngày càng gia tăng. Theo Báo cáo sơ kết 02 năm thực hiện Kế hoạch số 92/KH-BCĐ389 về tăng cường công tác chống buôn lậu, gian lận thương mại và hàng giả trên các tuyến biên giới, vùng biển và địa bàn nội địa của Ban Chỉ đạo quốc gia chống buôn lậu, gian lận thương mại và hàng giả (Ban </w:t>
      </w:r>
      <w:r w:rsidR="00874827" w:rsidRPr="00D22F14">
        <w:rPr>
          <w:noProof/>
          <w:color w:val="000000" w:themeColor="text1"/>
          <w:sz w:val="26"/>
          <w:szCs w:val="26"/>
          <w:lang w:val="vi-VN"/>
        </w:rPr>
        <w:t>C</w:t>
      </w:r>
      <w:r w:rsidRPr="00ED5E38">
        <w:rPr>
          <w:noProof/>
          <w:color w:val="000000" w:themeColor="text1"/>
          <w:sz w:val="26"/>
          <w:szCs w:val="26"/>
          <w:lang w:val="vi-VN"/>
        </w:rPr>
        <w:t>hỉ đạo 389 quốc gia), các bộ, ngành và lực lượng chức năng đã phát hiện, xử lý 294.728 vụ vi phạm, gồm 24.414 vụ mua bán, vận chuyển hàng cấm, hàng lậu; 259.618 vụ gian lận thương mại và thuế; 10.696 vụ sản xuất, mua bán hàng giả, hàng kém chất lượng và vi phạm sở hữu trí tuệ. Tổng số thu ngân sách đạt gần 30.000 tỷ đồng, khởi tố 5.280 vụ với 7.884 đối tượng</w:t>
      </w:r>
      <w:r w:rsidRPr="00ED5E38">
        <w:rPr>
          <w:rStyle w:val="FootnoteReference"/>
          <w:rFonts w:eastAsia="DengXian Light"/>
          <w:noProof/>
          <w:color w:val="000000" w:themeColor="text1"/>
          <w:sz w:val="26"/>
          <w:szCs w:val="26"/>
          <w:lang w:val="vi-VN"/>
        </w:rPr>
        <w:footnoteReference w:id="18"/>
      </w:r>
      <w:r w:rsidRPr="00ED5E38">
        <w:rPr>
          <w:noProof/>
          <w:color w:val="000000" w:themeColor="text1"/>
          <w:sz w:val="26"/>
          <w:szCs w:val="26"/>
          <w:lang w:val="vi-VN"/>
        </w:rPr>
        <w:t xml:space="preserve">. </w:t>
      </w:r>
    </w:p>
    <w:p w14:paraId="0DB06F62"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Chỉ tính riêng trong 6 tháng đầu năm 2025, các lực lượng chức năng trong cả nước đã bắt giữ, xử lý 49.714 vụ việc vi phạm (giảm 22,55% so với cùng kỳ năm trước). Trong đó, phát hiện, xử lý 10.836 vụ buôn bán, vận chuyển hàng cấm, hàng lậu (tăng 79,34%); 35.608 vụ gian lận thương mại, gian lận về thuế (giảm 35,41%); 3.270 vụ hàng giả, vi phạm sở hữu trí tuệ (tăng 8,64%); thu nộp ngân sách nhà nước hơn 6.459,2 tỷ đồng (tăng 6,47%); khởi tố hình sự 1.899 vụ (tăng 192,15%) với 3.271 đối tượng</w:t>
      </w:r>
      <w:r w:rsidRPr="00ED5E38">
        <w:rPr>
          <w:rStyle w:val="FootnoteReference"/>
          <w:rFonts w:eastAsia="DengXian Light"/>
          <w:noProof/>
          <w:color w:val="000000" w:themeColor="text1"/>
          <w:sz w:val="26"/>
          <w:szCs w:val="26"/>
          <w:lang w:val="vi-VN"/>
        </w:rPr>
        <w:footnoteReference w:id="19"/>
      </w:r>
      <w:r w:rsidRPr="00ED5E38">
        <w:rPr>
          <w:noProof/>
          <w:color w:val="000000" w:themeColor="text1"/>
          <w:sz w:val="26"/>
          <w:szCs w:val="26"/>
          <w:lang w:val="vi-VN"/>
        </w:rPr>
        <w:t>. Thực hiện Công điện số 65/CĐ-TTg, Chỉ thị số 13/CT-TTg và các chỉ đạo của Thủ tướng Chính phủ, Trưởng Ban Chỉ đạo 389 quốc gia về mở đợt cao điểm đấu tranh ngăn chặn, đẩy lùi tình trạng buôn lậu, gian lận thương mại, trong tháng cao điểm (từ 15/5/2025 đến 15/6/2025), các lực lượng chức năng tại các địa phương trong cả nước bắt giữ, xử lý 10.437 vụ việc buôn lậu, gian lận thương mại và hàng giả (tăng 80,51% so với tháng 5); thu nộp ngân sách nhà nước 1.279 tỷ đồng (tăng 258,43% so với tháng 5); tạm giữ hàng hóa tang vật trị giá ước tính trên 4.075 tỷ đồng; khởi tố 204 vụ với 378 bị can.</w:t>
      </w:r>
    </w:p>
    <w:p w14:paraId="44ADA7F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Qua thực tiễn công tác kiểm tra cho thấy, hàng giả không chỉ tồn tại dai dẳng tại các chợ truyền thống, cửa hàng nhỏ lẻ mà đã nhanh chóng dịch chuyển và bùng phát mạnh mẽ trên các nền tảng thương mại điện tử và mạng xã hội. Hoạt động lợi dụng thương mại điện tử, mua sắm trên các trang mạng xã hội, chuyển phát nhanh… để kinh doanh, vận chuyển hàng không rõ nguồn gốc, hàng giả, kém chất lượng có chiều hướng gia tăng. Ngoài ra, các đối tượng lợi dụng nhu cầu tiêu dùng tăng, tâm lý chuộng giá rẻ, sự thiếu cảnh giác trên môi trường trực tuyến và những kẽ hở trong quản lý chất lượng, truy xuất nguồn gốc để đưa hàng giả lưu thông trên thị trường. Hành vi không chỉ tập trung vào thương hiệu quốc tế mà còn mở rộng sang thương hiệu trong nước và nhóm sản phẩm thiết yếu, cho thấy phạm vi tác động ngày càng sâu rộng. Chủng loại hàng hóa vi phạm đa dạng, từ thời trang, mỹ phẩm, thực phẩm chức năng, dược phẩm, sữa bột, chế phẩm vệ sinh đến linh kiện điện tử, phụ tùng phương tiện và hàng tiêu dùng phổ </w:t>
      </w:r>
      <w:r w:rsidRPr="00ED5E38">
        <w:rPr>
          <w:noProof/>
          <w:color w:val="000000" w:themeColor="text1"/>
          <w:sz w:val="26"/>
          <w:szCs w:val="26"/>
          <w:lang w:val="vi-VN"/>
        </w:rPr>
        <w:lastRenderedPageBreak/>
        <w:t>biến; nguồn hàng hình thành từ cả sản xuất trong nước và nhập khẩu qua nhiều hình thức khác nhau.</w:t>
      </w:r>
    </w:p>
    <w:p w14:paraId="55128740"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Bên cạnh đó, các thủ đoạn truyền thống vẫn được duy trì nhưng có mức độ tinh vi hơn. Hoạt động sản xuất hàng giả diễn ra tại các cơ sở nhỏ lẻ, thuê địa điểm ngắn hạn ở khu vực giáp ranh hoặc đông dân cư để tránh giám sát. Các đối tượng chia nhỏ quy trình thành nhiều công đoạn riêng biệt như in bao bì, pha trộn nguyên liệu, đóng gói và dán nhãn tại các địa điểm khác nhau nhằm gây khó khăn cho truy xuất nguồn gốc. Bao bì, tem nhãn, mã vạch và tem chống giả tiếp tục được sử dụng phổ biến. </w:t>
      </w:r>
    </w:p>
    <w:p w14:paraId="42DB8322"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Một xu hướng nổi bật trong giai đoạn gần đây là sự gia tăng mạnh của hành vi giả mạo về chất lượng, thay vì chỉ giả mạo hình thức như giai đoạn trước. Các đối tượng thực hiện pha loãng hoặc thay đổi thành phần sản phẩm, sử dụng nguyên liệu rẻ tiền hoặc không rõ nguồn gốc, hạ chỉ tiêu kỹ thuật, thay đổi hoặc in lại hạn sử dụng, chia nhỏ lô hàng để gửi mẫu đạt chuẩn đi kiểm nghiệm. Đồng thời, xuất hiện tình trạng giả mạo hồ sơ công bố tiêu chuẩn, phiếu kiểm nghiệm và giấy chứng nhận chất lượng, giúp hợp thức hóa hàng kém chất lượng dưới dạng sản phẩm hợp pháp. Nhóm mặt hàng bị giả mạo về chất lượng chủ yếu gồm dược phẩm, thực phẩm chức năng, sữa bột và sản phẩm dinh dưỡng, mỹ phẩm, chế phẩm vệ sinh, phân bón, thuốc bảo vệ thực vật và xăng dầu không chỉ</w:t>
      </w:r>
      <w:r w:rsidRPr="00ED5E38">
        <w:rPr>
          <w:i/>
          <w:iCs/>
          <w:noProof/>
          <w:color w:val="000000" w:themeColor="text1"/>
          <w:sz w:val="26"/>
          <w:szCs w:val="26"/>
          <w:lang w:val="vi-VN"/>
        </w:rPr>
        <w:t xml:space="preserve"> </w:t>
      </w:r>
      <w:r w:rsidRPr="00ED5E38">
        <w:rPr>
          <w:noProof/>
          <w:color w:val="000000" w:themeColor="text1"/>
          <w:sz w:val="26"/>
          <w:szCs w:val="26"/>
          <w:lang w:val="vi-VN"/>
        </w:rPr>
        <w:t>gây tác động trực tiếp đến sức khỏe người tiêu dùng mà còn ảnh hưởng tới an toàn thị trường, sự phát triển bền vững kinh tế.</w:t>
      </w:r>
    </w:p>
    <w:p w14:paraId="7A4283D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Qua thực tiễn xử lý các vụ việc về sản xuất, buôn bán hàng giả cho thấy, bất cứ mặt hàng nào trên thị trường đều có thể bị làm giả, chủng loại hàng hóa vi phạm đa dạng, từ thời trang, mỹ phẩm, thực phẩm chức năng, dược phẩm, sữa bột, cà phê, gạo đến linh kiện điện tử, đồng hồ, phụ tùng phương tiện, hàng tiêu dùng phổ biến và thậm chí là những mặt hàng có mức độ rủi ro cao như xăng, bình chữa cháy. Bên cạnh đó, không chỉ các tổ chức, cá nhân khác sản xuất, buôn bán hàng giả mà ngay chính những doanh nghiệp sản xuất ra hàng hóa đó vì lợi nhuận mà sẵn sàng làm giả hàng hóa của chính doanh nghiệp mình để bán cho người tiêu dùng. Ngoài ra, có thể thấy, đa phần những vụ việc có liên quan đến sản xuất và buôn bán hàng giả thì các đối tượng đều bị truy tố thêm tội vi phạm về kế toán gây hậu quả nghiêm trọng hoặc trốn thuế, buôn lậu... cho thấy các hành vi sản xuất, buôn bán hàng giả không chỉ ảnh hưởng đến sức khoẻ, thậm chí là tính mạng của người tiêu dùng, doanh thu và uy tín của doanh nghiệp mà còn khiến nhà nước bị thất thoát về thu thuế và phải đối mặt với gánh nặng ngày càng tăng đối với hệ thống thực thi pháp luật và y tế công cộng. </w:t>
      </w:r>
    </w:p>
    <w:p w14:paraId="64C9D7A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Những con số thống kê và những vụ việc điển hình nêu trên cho thấy các cơ quan nhà nước hiện nay phải nhìn nhận hàng giả không chỉ là hành vi xâm phạm quyền sở hữu trí tuệ hay gian lận thương mại, mà còn là một nguy cơ an ninh xã hội và an toàn cộng đồng.</w:t>
      </w:r>
    </w:p>
    <w:p w14:paraId="2E631330"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Hệ lụy của hàng giả đối với doanh nghiệp và nền kinh tế thể hiện rõ nét ở cả phương diện trực tiếp và gián tiếp. Về mặt tài chính, hàng giả làm sụt giảm nghiêm trọng doanh thu và lợi nhuận của các doanh nghiệp sản xuất, kinh doanh chân chính. Ước tính, các công ty trên toàn cầu mất khoảng 500 tỷ USD mỗi năm do hàng giả. Thiệt hại tài </w:t>
      </w:r>
      <w:r w:rsidRPr="00ED5E38">
        <w:rPr>
          <w:noProof/>
          <w:color w:val="000000" w:themeColor="text1"/>
          <w:sz w:val="26"/>
          <w:szCs w:val="26"/>
          <w:lang w:val="vi-VN"/>
        </w:rPr>
        <w:lastRenderedPageBreak/>
        <w:t>chính do hàng giả gây ra không chỉ dừng lại ở việc mất doanh thu trực tiếp mà còn bao gồm các chi phí ẩn và gián tiếp, tạo ra gánh nặng kép cho doanh nghiệp.  Điển hình, Công ty TNHH Colgate-Palmolive (Việt Nam) ghi nhận hơn 30% số mã sản phẩm bị làm giả, gây thất thoát hàng tỷ đồng mỗi năm. Một nhà sản xuất tã bỉm tại Việt Nam đã đầu tư 2 triệu USD vào dây chuyền sản xuất nhưng không thể cạnh tranh với hàng giả có giá chỉ bằng 1/3 hoặc 1/4 sản phẩm thật, khiến doanh nghiệp khó tồn tại. Các ngành bị ảnh hưởng nặng nề về doanh thu bao gồm mỹ phẩm (mất khoảng 5,4 tỷ USD/năm) và công nghệ (mất hơn 100 tỷ USD/năm do hàng điện tử giả)</w:t>
      </w:r>
      <w:r w:rsidRPr="00ED5E38">
        <w:rPr>
          <w:rStyle w:val="FootnoteReference"/>
          <w:rFonts w:eastAsia="DengXian Light"/>
          <w:noProof/>
          <w:color w:val="000000" w:themeColor="text1"/>
          <w:sz w:val="26"/>
          <w:szCs w:val="26"/>
          <w:lang w:val="vi-VN"/>
        </w:rPr>
        <w:footnoteReference w:id="20"/>
      </w:r>
      <w:r w:rsidRPr="00ED5E38">
        <w:rPr>
          <w:noProof/>
          <w:color w:val="000000" w:themeColor="text1"/>
          <w:sz w:val="26"/>
          <w:szCs w:val="26"/>
          <w:lang w:val="vi-VN"/>
        </w:rPr>
        <w:t>. Theo Hiệp hội Phân bón Việt Nam, mỗi năm ngành nông nghiệp phải gánh khoản thiệt hại lên tới 2,5 tỷ USD do phân bón giả và kém chất lượng. Con số này không chỉ phản ánh tổn thất kinh tế trực tiếp, mà còn cho thấy mức độ hoành hành đáng lo ngại của hàng giả trên thị trường</w:t>
      </w:r>
      <w:r w:rsidRPr="00ED5E38">
        <w:rPr>
          <w:rStyle w:val="FootnoteReference"/>
          <w:rFonts w:eastAsia="DengXian Light"/>
          <w:noProof/>
          <w:color w:val="000000" w:themeColor="text1"/>
          <w:sz w:val="26"/>
          <w:szCs w:val="26"/>
          <w:lang w:val="vi-VN"/>
        </w:rPr>
        <w:footnoteReference w:id="21"/>
      </w:r>
      <w:r w:rsidRPr="00ED5E38">
        <w:rPr>
          <w:noProof/>
          <w:color w:val="000000" w:themeColor="text1"/>
          <w:sz w:val="26"/>
          <w:szCs w:val="26"/>
          <w:lang w:val="vi-VN"/>
        </w:rPr>
        <w:t>.</w:t>
      </w:r>
    </w:p>
    <w:p w14:paraId="29E3D308"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Uy tín và hình ảnh thương hiệu bị tổn hại nghiêm trọng khi sản phẩm bị làm giả. Người tiêu dùng có thể nhầm lẫn chất lượng kém của hàng giả với sản phẩm thật, dẫn đến mất lòng tin và quay lưng với thương hiệu chính hãng. Việc khôi phục uy tín đã mất là rất khó khăn và tốn kém, đòi hỏi các chiến dịch marketing lớn để trấn an và lấy lại niềm tin khách hàng. Hàng giả làm giảm giá trị cảm nhận của thương hiệu, đặc biệt là đối với các thương hiệu cao cấp, làm mất đi sự độc quyền và uy tín mà họ đã dày công xây dựng. Bên cạnh đó, hàng giả còn kìm hãm đổi mới và đầu tư, tạo ra một môi trường cạnh tranh không công bằng, làm nản lòng các nhà đầu tư chân chính và cản trở sự phát triển bền vững của nền kinh tế. Các đối tượng làm giả thường ăn cắp tài sản trí tuệ, thiết kế và bí mật thương mại, làm suy yếu động lực đổi mới của các công ty. Khi doanh nghiệp không thể bảo vệ quyền sở hữu trí tuệ của mình, động lực đầu tư vào nghiên cứu và phát triển bị suy giảm nghiêm trọng, gây ra hệ lụy kinh tế vĩ mô.  </w:t>
      </w:r>
    </w:p>
    <w:p w14:paraId="2423B565"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Đặc biệt, người tiêu dùng là nhóm chịu rủi ro trực tiếp và nghiêm trọng nhất. Khi ranh giới giữa hàng thật - hàng giả trở nên mờ nhạt, người tiêu dùng buộc phải mua sắm trong tâm thế nghi ngờ, lo lắng, làm suy giảm động lực tiêu dùng và cản trở sự phát triển của thị trường chính thống. Nguy hiểm hơn, hàng giả trong các lĩnh vực thực phẩm, dược phẩm, mỹ phẩm, linh kiện kỹ thuật và điện tử tiềm ẩn rủi ro lớn đối với sức khỏe và an toàn tính mạng: từ ngộ độc, tổn hại lâu dài đến cơ thể, cho tới tai nạn giao thông, cháy nổ và tử vong. Đây là những hệ quả mà bất kỳ quốc gia nào cũng không thể xem nhẹ.</w:t>
      </w:r>
    </w:p>
    <w:p w14:paraId="08F2B538"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Hàng giả không chỉ tàn phá thị trường, gây thiệt hại nghiêm trọng cho hoạt động của các doanh nghiệp kinh doanh chân chính, mà còn là mối đe dọa đến uy tín quốc gia. Theo báo cáo Notorious Markets 2024 của Văn phòng đại diện Thương mại Mỹ (USTR), Việt Nam tiếp tục nằm trong danh sách các quốc gia có thị trường hàng giả nổi cộm, làm giảm mạnh độ tín nhiệm trong mắt nhà đầu tư nước ngoài</w:t>
      </w:r>
      <w:r w:rsidRPr="00ED5E38">
        <w:rPr>
          <w:rStyle w:val="FootnoteReference"/>
          <w:rFonts w:eastAsia="DengXian Light"/>
          <w:noProof/>
          <w:color w:val="000000" w:themeColor="text1"/>
          <w:sz w:val="26"/>
          <w:szCs w:val="26"/>
          <w:lang w:val="vi-VN"/>
        </w:rPr>
        <w:footnoteReference w:id="22"/>
      </w:r>
      <w:r w:rsidRPr="00ED5E38">
        <w:rPr>
          <w:noProof/>
          <w:color w:val="000000" w:themeColor="text1"/>
          <w:sz w:val="26"/>
          <w:szCs w:val="26"/>
          <w:lang w:val="vi-VN"/>
        </w:rPr>
        <w:t xml:space="preserve">. Đồng thời, theo OECD, </w:t>
      </w:r>
      <w:r w:rsidRPr="00ED5E38">
        <w:rPr>
          <w:noProof/>
          <w:color w:val="000000" w:themeColor="text1"/>
          <w:sz w:val="26"/>
          <w:szCs w:val="26"/>
          <w:lang w:val="vi-VN"/>
        </w:rPr>
        <w:lastRenderedPageBreak/>
        <w:t>số hàng hóa có nguồn gốc từ Việt Nam được xác định là hàng giả bị tịch thu ở tại các cửa khẩu hải quan quốc tế đứng thứ 5 toàn cầu</w:t>
      </w:r>
      <w:r w:rsidRPr="00ED5E38">
        <w:rPr>
          <w:rStyle w:val="FootnoteReference"/>
          <w:rFonts w:eastAsia="DengXian Light"/>
          <w:noProof/>
          <w:color w:val="000000" w:themeColor="text1"/>
          <w:sz w:val="26"/>
          <w:szCs w:val="26"/>
          <w:lang w:val="vi-VN"/>
        </w:rPr>
        <w:footnoteReference w:id="23"/>
      </w:r>
      <w:r w:rsidRPr="00ED5E38">
        <w:rPr>
          <w:noProof/>
          <w:color w:val="000000" w:themeColor="text1"/>
          <w:sz w:val="26"/>
          <w:szCs w:val="26"/>
          <w:lang w:val="vi-VN"/>
        </w:rPr>
        <w:t>. Con số này cho thấy nước ta đang đối mặt với rủi ro lớn bị lợi dụng như một điểm trung chuyển, điểm gia công hoặc gắn mác xuất xứ trong chuỗi cung ứng hàng giả quốc tế. Thực trạng này đặt ra thách thức nghiêm trọng đối với uy tín thương mại và hình ảnh quốc gia, bởi trong bối cảnh các hiệp định thương mại tự do thế hệ mới ngày càng nhấn mạnh yếu tố minh bạch chuỗi cung ứng, tuân thủ quy tắc xuất xứ và bảo vệ quyền sở hữu trí tuệ, việc bị xếp ở vị trí cao trong thống kê hàng giả toàn cầu có thể kéo theo hệ quả là gia tăng kiểm tra, giám sát, thậm chí áp dụng các biện pháp phòng vệ thương mại và phi thuế quan đối với hàng hóa xuất khẩu của Việt Nam. Về dài hạn, điều này không chỉ làm gia tăng chi phí tuân thủ cho doanh nghiệp chân chính mà còn làm suy giảm niềm tin của đối tác quốc tế, ảnh hưởng trực tiếp đến năng lực cạnh tranh, khả năng tham gia chuỗi giá trị toàn cầu và mục tiêu xây dựng hình ảnh Việt Nam như một nền kinh tế sản xuất - xuất khẩu có trách nhiệm và đáng tin cậy.</w:t>
      </w:r>
    </w:p>
    <w:p w14:paraId="621ECA6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Đặc biệt, trong bối cảnh chuỗi cung ứng toàn cầu tiếp tục chịu ảnh hưởng của biến động địa chính trị, căng thẳng thương mại và chi phí lao động tăng cao tại Trung Quốc, chiến lược “China Plus One” </w:t>
      </w:r>
      <w:r w:rsidRPr="00ED5E38">
        <w:rPr>
          <w:rStyle w:val="FootnoteReference"/>
          <w:rFonts w:eastAsia="DengXian Light"/>
          <w:noProof/>
          <w:color w:val="000000" w:themeColor="text1"/>
          <w:sz w:val="26"/>
          <w:szCs w:val="26"/>
          <w:lang w:val="vi-VN"/>
        </w:rPr>
        <w:footnoteReference w:id="24"/>
      </w:r>
      <w:r w:rsidRPr="00ED5E38">
        <w:rPr>
          <w:noProof/>
          <w:color w:val="000000" w:themeColor="text1"/>
          <w:sz w:val="26"/>
          <w:szCs w:val="26"/>
          <w:lang w:val="vi-VN"/>
        </w:rPr>
        <w:t xml:space="preserve"> đã trở thành lựa chọn hợp lý cho nhiều doanh nghiệp. Thay vì phụ thuộc hoàn toàn vào nguồn cung từ Trung Quốc, các nhà đầu tư và sản xuất đang dịch chuyển một phần hoạt động sang các nước khác như Việt Nam, Ấn Độ, Indonesia hay Mexico để đa dạng hóa rủi ro, tối ưu hóa chi phí, và cải thiện khả năng tiếp cận thị trường toàn cầu. Với lực lượng lao động trẻ, chi phí cạnh tranh và môi trường đầu tư đang được cải thiện, Việt Nam đang nổi lên như một trong những điểm đến hấp dẫn nhất trong chiến lược này. Tuy nhiên, ngoài những thách thức từ việc việc phải hoàn thiện thể chế để thu hút và tận dụng dòng vốn FDI từ làn sóng “China Plus One”, một trong những nhiệm vụ cấp bách của Việt Nam hiện nay là quản lý thị trường nội địa minh bạch, bình đẳng, cạnh tranh lành mạnh. Trong đó, việc hoàn thiện các quy định của pháp luật hàng giả là một trong những nhiệm vụ cấp thiết hiện nay để làm cơ sở cho việc đấu tranh, phòng, chống các hành vi sản xuất, buôn bán hàng giả nhằm bảo vệ một thị trường minh bạch, củng cố môi trường kinh doanh lành mạnh, hấp dẫn đối với các nhà đầu tư nước ngoài. </w:t>
      </w:r>
    </w:p>
    <w:p w14:paraId="5248DACA"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Từ những phân tích trên, có thể thấy rằng, việc quy định rõ ràng, thống nhất và có giá trị pháp lý cao về khái niệm hàng giả trong bối cảnh là vô cùng cấp thiết, không chỉ để làm cơ sở pháp lý chung cho công tác quản lý thị trường, xử lý vi phạm và bảo vệ quyền lợi các chủ thể trong thương mại, mà còn nhằm khẳng định cam kết và thái độ của Việt Nam trong việc xây dựng môi trường kinh doanh lành mạnh, tuân thủ chuẩn mực quốc tế và nâng cao năng lực cạnh tranh, uy tín của nền kinh tế trong chuỗi giá trị toàn cầu.</w:t>
      </w:r>
    </w:p>
    <w:p w14:paraId="4FFE68C0" w14:textId="77777777" w:rsidR="002165C0" w:rsidRPr="00ED5E38" w:rsidRDefault="002165C0" w:rsidP="00ED5E38">
      <w:pPr>
        <w:pStyle w:val="Heading3"/>
        <w:ind w:firstLine="720"/>
        <w:rPr>
          <w:rFonts w:cs="Times New Roman"/>
          <w:i w:val="0"/>
          <w:iCs/>
          <w:noProof/>
          <w:color w:val="000000" w:themeColor="text1"/>
          <w:lang w:val="vi-VN"/>
        </w:rPr>
      </w:pPr>
      <w:r w:rsidRPr="00ED5E38">
        <w:rPr>
          <w:rFonts w:cs="Times New Roman"/>
          <w:i w:val="0"/>
          <w:iCs/>
          <w:noProof/>
          <w:color w:val="000000" w:themeColor="text1"/>
          <w:lang w:val="vi-VN"/>
        </w:rPr>
        <w:lastRenderedPageBreak/>
        <w:t>* Chủ trương, đường lối của Đảng và Nhà nước về chống hàng giả</w:t>
      </w:r>
    </w:p>
    <w:p w14:paraId="6E0560C5"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Chống hàng giả là một trong những vấn đề mà Đảng, Nhà nước Việt Nam từ lâu đã đặc biệt quan tâm và coi đây là một vấn đề có ý nghĩa lớn về kinh tế - xã hội, về an toàn xã hội, sức khỏe cộng đồng, về bảo vệ môi trường và cũng là vấn đề có ảnh hưởng lớn đến tiến trình hội nhập của Việt Nam. Do vậy, Đảng và Nhà nước ta thường xuyên chỉ đạo và đưa ra các giải pháp nhằm không ngừng nâng cao hiệu lực, hiệu quả trong quản lý nhà nước về chống hàng giả và bảo vệ quyền lợi người tiêu dùng. Cụ thể:</w:t>
      </w:r>
    </w:p>
    <w:p w14:paraId="5F5E494B" w14:textId="77777777" w:rsidR="002165C0" w:rsidRPr="00ED5E38" w:rsidRDefault="002165C0" w:rsidP="00ED5E38">
      <w:pPr>
        <w:tabs>
          <w:tab w:val="right" w:leader="dot" w:pos="7920"/>
        </w:tabs>
        <w:spacing w:before="120" w:after="120" w:line="340" w:lineRule="exact"/>
        <w:ind w:firstLine="720"/>
        <w:jc w:val="both"/>
        <w:rPr>
          <w:b/>
          <w:bCs/>
          <w:noProof/>
          <w:color w:val="000000" w:themeColor="text1"/>
          <w:sz w:val="26"/>
          <w:szCs w:val="26"/>
          <w:lang w:val="vi-VN"/>
        </w:rPr>
      </w:pPr>
      <w:r w:rsidRPr="00ED5E38">
        <w:rPr>
          <w:noProof/>
          <w:color w:val="000000" w:themeColor="text1"/>
          <w:sz w:val="26"/>
          <w:szCs w:val="26"/>
          <w:lang w:val="vi-VN"/>
        </w:rPr>
        <w:t>Nghị quyết số 23-NQ/TW ngày 22/3/2018 của Bộ Chính trị về định hướng xây dựng chính sách phát triển công nghiệp quốc gia đến năm 2030, tầm nhìn đến năm 2045, tại mục III.3 về định hướng xây dựng chính sách phát triển công nghiệp quốc gia, trong đó, một trong những chính sách tạo lập môi trường đầu tư, kinh doanh thuận lợi cho phát triển công nghiệp là:</w:t>
      </w:r>
      <w:r w:rsidRPr="00ED5E38">
        <w:rPr>
          <w:b/>
          <w:bCs/>
          <w:noProof/>
          <w:color w:val="000000" w:themeColor="text1"/>
          <w:sz w:val="26"/>
          <w:szCs w:val="26"/>
          <w:lang w:val="vi-VN"/>
        </w:rPr>
        <w:t xml:space="preserve"> </w:t>
      </w:r>
      <w:r w:rsidRPr="00ED5E38">
        <w:rPr>
          <w:i/>
          <w:iCs/>
          <w:noProof/>
          <w:color w:val="000000" w:themeColor="text1"/>
          <w:sz w:val="26"/>
          <w:szCs w:val="26"/>
          <w:lang w:val="vi-VN"/>
        </w:rPr>
        <w:t xml:space="preserve">“Nâng cao chất lượng và hiệu quả công tác kiểm tra, kiểm soát thị trường. </w:t>
      </w:r>
      <w:r w:rsidRPr="00ED5E38">
        <w:rPr>
          <w:b/>
          <w:bCs/>
          <w:i/>
          <w:iCs/>
          <w:noProof/>
          <w:color w:val="000000" w:themeColor="text1"/>
          <w:sz w:val="26"/>
          <w:szCs w:val="26"/>
          <w:lang w:val="vi-VN"/>
        </w:rPr>
        <w:t>Đẩy mạnh công tác đấu tranh chống buôn lậu, gian lận thương mại, hàng giả</w:t>
      </w:r>
      <w:r w:rsidRPr="00ED5E38">
        <w:rPr>
          <w:i/>
          <w:iCs/>
          <w:noProof/>
          <w:color w:val="000000" w:themeColor="text1"/>
          <w:sz w:val="26"/>
          <w:szCs w:val="26"/>
          <w:lang w:val="vi-VN"/>
        </w:rPr>
        <w:t>, vi phạm quyền sở hữu trí tuệ trong lĩnh vực công nghiệp, bảo đảm môi trường sản xuất kinh doanh lành mạnh.”</w:t>
      </w:r>
    </w:p>
    <w:p w14:paraId="3F2EB975"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Chỉ thị số 30-CT/TW ngày 22/01/2019 của Ban Bí thư về tăng cường sự lãnh đạo của Đảng và trách nhiệm quản lý của Nhà nước đối với công tác bảo vệ quyền lợi của người tiêu dùng có nêu một trong những nhiệm vụ mà Ban Bí thư yêu cầu các cấp ủy, tổ chức đảng, chính quyền, Mặt trận Tổ quốc và đoàn thể các cấp thực hiện nghiêm túc, có hiệu quả </w:t>
      </w:r>
      <w:r w:rsidRPr="00ED5E38">
        <w:rPr>
          <w:i/>
          <w:iCs/>
          <w:noProof/>
          <w:color w:val="000000" w:themeColor="text1"/>
          <w:sz w:val="26"/>
          <w:szCs w:val="26"/>
          <w:lang w:val="vi-VN"/>
        </w:rPr>
        <w:t xml:space="preserve"> </w:t>
      </w:r>
      <w:r w:rsidRPr="00ED5E38">
        <w:rPr>
          <w:noProof/>
          <w:color w:val="000000" w:themeColor="text1"/>
          <w:sz w:val="26"/>
          <w:szCs w:val="26"/>
          <w:lang w:val="vi-VN"/>
        </w:rPr>
        <w:t xml:space="preserve">đó là </w:t>
      </w:r>
      <w:r w:rsidRPr="00ED5E38">
        <w:rPr>
          <w:i/>
          <w:iCs/>
          <w:noProof/>
          <w:color w:val="000000" w:themeColor="text1"/>
          <w:sz w:val="26"/>
          <w:szCs w:val="26"/>
          <w:lang w:val="vi-VN"/>
        </w:rPr>
        <w:t>“Có giải pháp căn cơ, hiệu quả phát hiện, ngăn chặn các hành vi xâm phạm quyền lợi, sức khỏe, gây thiệt hại hoặc đe dọa đến tính mạng, an toàn của người tiêu dùng, đồng thời tạo điều kiện để người tiêu dùng nâng cao khả năng tự bảo vệ. Hoàn thiện các chế tài đủ răn đe đối với những hành vi sai phạm ảnh hưởng đến quyền lợi, sức khỏe, tính mạng..., nhất là đối với các hàng hóa, dịch vụ thiết yếu và các đối tượng người tiêu dùng yếu thế. Xây dựng cơ chế phù hợp để có kinh phí cho các hoạt động bảo vệ quyền lợi của người tiêu dùng...</w:t>
      </w:r>
      <w:r w:rsidRPr="00ED5E38">
        <w:rPr>
          <w:noProof/>
          <w:color w:val="000000" w:themeColor="text1"/>
          <w:sz w:val="26"/>
          <w:szCs w:val="26"/>
          <w:shd w:val="clear" w:color="auto" w:fill="FFFFFF"/>
          <w:lang w:val="vi-VN"/>
        </w:rPr>
        <w:t xml:space="preserve"> </w:t>
      </w:r>
      <w:r w:rsidRPr="00ED5E38">
        <w:rPr>
          <w:b/>
          <w:bCs/>
          <w:i/>
          <w:iCs/>
          <w:noProof/>
          <w:color w:val="000000" w:themeColor="text1"/>
          <w:sz w:val="26"/>
          <w:szCs w:val="26"/>
          <w:lang w:val="vi-VN"/>
        </w:rPr>
        <w:t>Đẩy mạnh hoạt động phân tích, kiểm định, đánh giá, kiểm soát, không để lưu thông trên thị trường những hàng hóa, dịch vụ không bảo đảm chất lượng hoặc có nguy cơ gây mất an toàn cho người tiêu dùng</w:t>
      </w:r>
      <w:r w:rsidRPr="00ED5E38">
        <w:rPr>
          <w:i/>
          <w:iCs/>
          <w:noProof/>
          <w:color w:val="000000" w:themeColor="text1"/>
          <w:sz w:val="26"/>
          <w:szCs w:val="26"/>
          <w:lang w:val="vi-VN"/>
        </w:rPr>
        <w:t xml:space="preserve">.” </w:t>
      </w:r>
    </w:p>
    <w:p w14:paraId="7E8D96F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Trên cơ sở tổng kết thực hiện Chỉ thị 30-CT/TW nêu trên, Ban Bí thư đã ban hành Kết luận số 207-KL/TW ngày 10/11/2025 về tiếp tục thực hiện Chỉ thị 30-CT/TW, nhấn mạnh việc củng cố cơ chế bảo vệ người tiêu dùng trong bối cảnh mới, trong đó</w:t>
      </w:r>
      <w:bookmarkStart w:id="1" w:name="dieu_1"/>
      <w:r w:rsidRPr="00ED5E38">
        <w:rPr>
          <w:noProof/>
          <w:color w:val="000000" w:themeColor="text1"/>
          <w:sz w:val="26"/>
          <w:szCs w:val="26"/>
          <w:lang w:val="vi-VN"/>
        </w:rPr>
        <w:t xml:space="preserve">, yêu cầu các cấp uỷ, tổ chức đảng, chính quyền, cơ quan quản lý nhà nước các cấp tiếp tục quán triệt, tổ chức thực hiện quyết liệt các nhiệm vụ và giải pháp được nêu trong Chỉ thị số 30-CT/TW, đồng thời tập trung lãnh đạo, chỉ đạo thực hiện tốt một số nhiệm vụ trọng tâm gồm: </w:t>
      </w:r>
      <w:r w:rsidRPr="00ED5E38">
        <w:rPr>
          <w:i/>
          <w:iCs/>
          <w:noProof/>
          <w:color w:val="000000" w:themeColor="text1"/>
          <w:sz w:val="26"/>
          <w:szCs w:val="26"/>
          <w:lang w:val="vi-VN"/>
        </w:rPr>
        <w:t>“Khẩn trương rà soát, thể chế hóa đầy đủ, kịp thời các chủ trương, định hướng mới của Đảng vào hệ thống văn bản pháp luật về bảo vệ quyền lợi của người tiêu dùng và các văn bản pháp luật chuyên ngành khác có liên quan</w:t>
      </w:r>
      <w:bookmarkEnd w:id="1"/>
      <w:r w:rsidRPr="00ED5E38">
        <w:rPr>
          <w:i/>
          <w:iCs/>
          <w:noProof/>
          <w:color w:val="000000" w:themeColor="text1"/>
          <w:sz w:val="26"/>
          <w:szCs w:val="26"/>
          <w:lang w:val="vi-VN"/>
        </w:rPr>
        <w:t xml:space="preserve">... </w:t>
      </w:r>
      <w:r w:rsidRPr="00ED5E38">
        <w:rPr>
          <w:b/>
          <w:bCs/>
          <w:i/>
          <w:iCs/>
          <w:noProof/>
          <w:color w:val="000000" w:themeColor="text1"/>
          <w:sz w:val="26"/>
          <w:szCs w:val="26"/>
          <w:lang w:val="vi-VN"/>
        </w:rPr>
        <w:t>phòng, chống hàng giả,</w:t>
      </w:r>
      <w:r w:rsidRPr="00ED5E38">
        <w:rPr>
          <w:i/>
          <w:iCs/>
          <w:noProof/>
          <w:color w:val="000000" w:themeColor="text1"/>
          <w:sz w:val="26"/>
          <w:szCs w:val="26"/>
          <w:lang w:val="vi-VN"/>
        </w:rPr>
        <w:t xml:space="preserve"> hàng nhái, hàng không rõ nguồn gốc, xuất xứ, kém chất lượng...; phát huy vai trò giám sát, cung cấp thông tin về chất lượng sản phẩm, hàng hóa, dịch vụ, hành vi sản xuất, buôn bán hàng giả, hàng nhái, hàng cấm,…của các tổ chức chính trị - xã hội, tổ chức xã hội - nghề nghiệp, người dân;...</w:t>
      </w:r>
      <w:r w:rsidRPr="00ED5E38">
        <w:rPr>
          <w:noProof/>
          <w:color w:val="000000" w:themeColor="text1"/>
          <w:sz w:val="26"/>
          <w:szCs w:val="26"/>
          <w:shd w:val="clear" w:color="auto" w:fill="FFFFFF"/>
          <w:lang w:val="vi-VN"/>
        </w:rPr>
        <w:t xml:space="preserve"> </w:t>
      </w:r>
      <w:r w:rsidRPr="00ED5E38">
        <w:rPr>
          <w:i/>
          <w:iCs/>
          <w:noProof/>
          <w:color w:val="000000" w:themeColor="text1"/>
          <w:sz w:val="26"/>
          <w:szCs w:val="26"/>
          <w:lang w:val="vi-VN"/>
        </w:rPr>
        <w:t xml:space="preserve">rà soát, điều chỉnh các quy định chế tài, hình </w:t>
      </w:r>
      <w:r w:rsidRPr="00ED5E38">
        <w:rPr>
          <w:i/>
          <w:iCs/>
          <w:noProof/>
          <w:color w:val="000000" w:themeColor="text1"/>
          <w:sz w:val="26"/>
          <w:szCs w:val="26"/>
          <w:lang w:val="vi-VN"/>
        </w:rPr>
        <w:lastRenderedPageBreak/>
        <w:t xml:space="preserve">phạt, </w:t>
      </w:r>
      <w:r w:rsidRPr="00ED5E38">
        <w:rPr>
          <w:b/>
          <w:bCs/>
          <w:i/>
          <w:iCs/>
          <w:noProof/>
          <w:color w:val="000000" w:themeColor="text1"/>
          <w:sz w:val="26"/>
          <w:szCs w:val="26"/>
          <w:lang w:val="vi-VN"/>
        </w:rPr>
        <w:t>xử lý nghiêm minh đối với các hành vi cố tình sản xuất, buôn lậu hàng giả,</w:t>
      </w:r>
      <w:r w:rsidRPr="00ED5E38">
        <w:rPr>
          <w:i/>
          <w:iCs/>
          <w:noProof/>
          <w:color w:val="000000" w:themeColor="text1"/>
          <w:sz w:val="26"/>
          <w:szCs w:val="26"/>
          <w:lang w:val="vi-VN"/>
        </w:rPr>
        <w:t xml:space="preserve"> hàng nhái, hàng không đáp ứng yêu cầu chất lượng </w:t>
      </w:r>
      <w:r w:rsidRPr="00ED5E38">
        <w:rPr>
          <w:b/>
          <w:bCs/>
          <w:i/>
          <w:iCs/>
          <w:noProof/>
          <w:color w:val="000000" w:themeColor="text1"/>
          <w:sz w:val="26"/>
          <w:szCs w:val="26"/>
          <w:lang w:val="vi-VN"/>
        </w:rPr>
        <w:t>với quy mô lớn, ảnh hưởng sức khỏe, tính mạng người dân, bảo đảm tính răn đe, giáo dục cao</w:t>
      </w:r>
      <w:r w:rsidRPr="00ED5E38">
        <w:rPr>
          <w:i/>
          <w:iCs/>
          <w:noProof/>
          <w:color w:val="000000" w:themeColor="text1"/>
          <w:sz w:val="26"/>
          <w:szCs w:val="26"/>
          <w:lang w:val="vi-VN"/>
        </w:rPr>
        <w:t>.”</w:t>
      </w:r>
    </w:p>
    <w:p w14:paraId="18E57D4A" w14:textId="4F5E26B6"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Bên cạnh đó, Chính phủ, Thủ tướng </w:t>
      </w:r>
      <w:r w:rsidR="00874827" w:rsidRPr="00874827">
        <w:rPr>
          <w:noProof/>
          <w:color w:val="000000" w:themeColor="text1"/>
          <w:sz w:val="26"/>
          <w:szCs w:val="26"/>
          <w:lang w:val="vi-VN"/>
        </w:rPr>
        <w:t>C</w:t>
      </w:r>
      <w:r w:rsidRPr="00ED5E38">
        <w:rPr>
          <w:noProof/>
          <w:color w:val="000000" w:themeColor="text1"/>
          <w:sz w:val="26"/>
          <w:szCs w:val="26"/>
          <w:lang w:val="vi-VN"/>
        </w:rPr>
        <w:t>hính phủ đã ban hành nhiều công điện, chỉ thị chỉ đạo các bộ, ngành, lực lượng chức năng và toàn bộ hệ thống chính trị vào cuộc. Đặc biệt, một dấu mốc quan trọng trong công cuộc chống hàng giả là việc thành lập Ban Chỉ đạo quốc gia chống buôn lậu, gian lận thương mại và hàng giả theo Quyết định số 389/QĐ-TTg ngày 19/03/2014, xác lập cơ chế liên ngành để thống nhất chỉ đạo, điều phối lực lượng, tổng hợp tình hình và triển khai các kế hoạch chuyên đề hoặc cao điểm. Việc thành lập Ban Chỉ đạo 389 quốc gia là một quyết sách quan trọng của Đảng và Nhà nước, thể hiện rõ quyết tâm chính trị trong công cuộc đấu tranh phòng, chống các hành vi xâm hại trật tự quản lý kinh tế, làm méo mó thị trường và gây tổn hại nghiêm trọng đến lợi ích của Nhà nước, doanh nghiệp và người tiêu dùng.</w:t>
      </w:r>
    </w:p>
    <w:p w14:paraId="37044797" w14:textId="7652211F"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Thông qua hoạt động của Ban Chỉ đạo 389 nói chung và của các lực lượng thực thi nói riêng, công cuộc chống hàng giả cũng đã được triển khai mạnh mẽ, giúp các bộ, ngành và địa phương có điều kiện chia sẻ thông tin, xây dựng kế hoạch kiểm tra, kiểm soát theo chuyên đề, theo tuyến, theo địa bàn trọng điểm, từ đó hình thành sức mạnh tổng hợp trong đấu tranh chống buôn lậu, gian lận thương mại và hàng giả.</w:t>
      </w:r>
    </w:p>
    <w:p w14:paraId="3A3B3F2D"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Mới đây, Chính phủ ban hành Nghị quyết số 397/NQ-CP ngày 05/12/2025</w:t>
      </w:r>
      <w:r w:rsidRPr="00ED5E38">
        <w:rPr>
          <w:noProof/>
          <w:color w:val="000000" w:themeColor="text1"/>
          <w:sz w:val="26"/>
          <w:szCs w:val="26"/>
          <w:shd w:val="clear" w:color="auto" w:fill="FFFFFF"/>
          <w:lang w:val="vi-VN"/>
        </w:rPr>
        <w:t xml:space="preserve"> </w:t>
      </w:r>
      <w:r w:rsidRPr="00ED5E38">
        <w:rPr>
          <w:noProof/>
          <w:color w:val="000000" w:themeColor="text1"/>
          <w:sz w:val="26"/>
          <w:szCs w:val="26"/>
          <w:lang w:val="vi-VN"/>
        </w:rPr>
        <w:t xml:space="preserve"> ban hành Kế hoạch hành động của Chính phủ về đấu tranh ngăn chặn, đẩy lùi tình trạng buôn lậu, gian lận thương mại, hàng giả, xâm phạm quyền sở hữu trí tuệ đến năm 2030, trong đó xác định </w:t>
      </w:r>
      <w:r w:rsidRPr="00ED5E38">
        <w:rPr>
          <w:i/>
          <w:iCs/>
          <w:noProof/>
          <w:color w:val="000000" w:themeColor="text1"/>
          <w:sz w:val="26"/>
          <w:szCs w:val="26"/>
          <w:lang w:val="vi-VN"/>
        </w:rPr>
        <w:t>“Công tác chống buôn lậu, gian lận thương mại, hàng giả, xâm phạm quyền sở hữu trí tuệ phải được xác định là nhiệm vụ trọng tâm, ưu tiên hàng đầu, lâu dài, thường xuyên, liên tục, không ngừng nghỉ, cần huy động sự vào cuộc quyết liệt của cả hệ thống chính trị, người đứng đầu cấp ủy các cấp, chính quyền địa phương, Mặt trận Tổ quốc Việt Nam, cộng đồng doanh nghiệp và nhất là Nhân dân”</w:t>
      </w:r>
      <w:r w:rsidRPr="00ED5E38">
        <w:rPr>
          <w:noProof/>
          <w:color w:val="000000" w:themeColor="text1"/>
          <w:sz w:val="26"/>
          <w:szCs w:val="26"/>
          <w:lang w:val="vi-VN"/>
        </w:rPr>
        <w:t xml:space="preserve">, đồng thời giao các bộ, ngành, địa phương chủ động, </w:t>
      </w:r>
      <w:r w:rsidRPr="00ED5E38">
        <w:rPr>
          <w:i/>
          <w:iCs/>
          <w:noProof/>
          <w:color w:val="000000" w:themeColor="text1"/>
          <w:sz w:val="26"/>
          <w:szCs w:val="26"/>
          <w:lang w:val="vi-VN"/>
        </w:rPr>
        <w:t>thường xuyên rà soát, xây dựng cơ chế, chính sách, văn bản quy phạm pháp luật,</w:t>
      </w:r>
      <w:r w:rsidRPr="00ED5E38">
        <w:rPr>
          <w:noProof/>
          <w:color w:val="000000" w:themeColor="text1"/>
          <w:sz w:val="26"/>
          <w:szCs w:val="26"/>
          <w:lang w:val="vi-VN"/>
        </w:rPr>
        <w:t xml:space="preserve"> quy trình nghiệp vụ còn bất cập, vướng mắc, sơ hở liên quan đến chức năng, nhiệm vụ, lĩnh vực mình quản lý để trình cấp có thẩm quyền sửa đổi, bổ sung, chặn đứng, chặn ngay, không để các đối tượng lợi dụng buôn lậu, gian lận thương mại, hàng giả.</w:t>
      </w:r>
    </w:p>
    <w:p w14:paraId="0DF37A9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Nhìn chung, các chủ trương, chỉ đạo nêu trên cho thấy sự quan tâm nhất quán, xuyên suốt và ngày càng quyết liệt của Đảng và Nhà nước đối với công tác bảo vệ quyền lợi người tiêu dùng và phòng, chống hàng giả. Đây không chỉ là vấn đề kinh tế - thương mại thuần túy, mà còn là yêu cầu mang tính chính trị, xã hội sâu sắc, gắn liền với mục tiêu bảo vệ sức khỏe, tính mạng Nhân dân, xây dựng niềm tin thị trường và thúc đẩy phát triển kinh tế bền vững trong giai đoạn mới.</w:t>
      </w:r>
    </w:p>
    <w:p w14:paraId="50B2B325" w14:textId="77777777" w:rsidR="002165C0" w:rsidRPr="00ED5E38" w:rsidRDefault="002165C0" w:rsidP="00ED5E38">
      <w:pPr>
        <w:pStyle w:val="Heading3"/>
        <w:ind w:firstLine="720"/>
        <w:rPr>
          <w:rFonts w:cs="Times New Roman"/>
          <w:i w:val="0"/>
          <w:iCs/>
          <w:noProof/>
          <w:color w:val="000000" w:themeColor="text1"/>
          <w:lang w:val="vi-VN"/>
        </w:rPr>
      </w:pPr>
      <w:r w:rsidRPr="00ED5E38">
        <w:rPr>
          <w:rFonts w:cs="Times New Roman"/>
          <w:i w:val="0"/>
          <w:iCs/>
          <w:noProof/>
          <w:color w:val="000000" w:themeColor="text1"/>
          <w:lang w:val="vi-VN"/>
        </w:rPr>
        <w:t xml:space="preserve">* Quy định về hàng giả trong pháp luật của một số quốc gia trên thế giới: </w:t>
      </w:r>
    </w:p>
    <w:p w14:paraId="728F666F"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Ở nhiều quốc gia, khu vực, khái niệm hàng giả luôn được hiểu gắn liền với một sự vi phạm về sở hữu trí tuệ. Chẳng hạn như Liên minh Châu Âu (EU), EU sử dụng </w:t>
      </w:r>
      <w:r w:rsidRPr="00ED5E38">
        <w:rPr>
          <w:noProof/>
          <w:color w:val="000000" w:themeColor="text1"/>
          <w:sz w:val="26"/>
          <w:szCs w:val="26"/>
          <w:lang w:val="vi-VN"/>
        </w:rPr>
        <w:lastRenderedPageBreak/>
        <w:t>thuật ngữ “counterfeit and pirated goods” để chỉ hàng hóa vi phạm quyền sở hữu trí tuệ (nhãn hiệu, bằng sáng chế, bản quyền)</w:t>
      </w:r>
      <w:r w:rsidRPr="00ED5E38">
        <w:rPr>
          <w:rStyle w:val="FootnoteReference"/>
          <w:rFonts w:eastAsia="DengXian Light"/>
          <w:noProof/>
          <w:color w:val="000000" w:themeColor="text1"/>
          <w:sz w:val="26"/>
          <w:szCs w:val="26"/>
          <w:lang w:val="vi-VN"/>
        </w:rPr>
        <w:footnoteReference w:id="25"/>
      </w:r>
      <w:r w:rsidRPr="00ED5E38">
        <w:rPr>
          <w:noProof/>
          <w:color w:val="000000" w:themeColor="text1"/>
          <w:sz w:val="26"/>
          <w:szCs w:val="26"/>
          <w:lang w:val="vi-VN"/>
        </w:rPr>
        <w:t xml:space="preserve"> và không có một định nghĩa duy nhất trong EU quy định cho hàng giả về “chất lượng” (substandard) ở cấp liên minh. Tuy nhiên các tiêu chuẩn an toàn sản phẩm, chẳng hạn General Product Safety Regulation (GPSR), yêu cầu các sản phẩm phải đáp ứng tiêu chuẩn an toàn chung khi được lưu hành. Tương tự như tại Mỹ, Luật Liên bang Mỹ (Đạo luật Lanham) quy định </w:t>
      </w:r>
      <w:r w:rsidRPr="00ED5E38">
        <w:rPr>
          <w:rStyle w:val="Strong"/>
          <w:noProof/>
          <w:color w:val="000000" w:themeColor="text1"/>
          <w:sz w:val="26"/>
          <w:szCs w:val="26"/>
          <w:lang w:val="vi-VN"/>
        </w:rPr>
        <w:t>“</w:t>
      </w:r>
      <w:r w:rsidRPr="00ED5E38">
        <w:rPr>
          <w:rStyle w:val="Strong"/>
          <w:b w:val="0"/>
          <w:bCs w:val="0"/>
          <w:noProof/>
          <w:color w:val="000000" w:themeColor="text1"/>
          <w:sz w:val="26"/>
          <w:szCs w:val="26"/>
          <w:lang w:val="vi-VN"/>
        </w:rPr>
        <w:t>counterfeit goods”</w:t>
      </w:r>
      <w:r w:rsidRPr="00ED5E38">
        <w:rPr>
          <w:b/>
          <w:bCs/>
          <w:noProof/>
          <w:color w:val="000000" w:themeColor="text1"/>
          <w:sz w:val="26"/>
          <w:szCs w:val="26"/>
          <w:lang w:val="vi-VN"/>
        </w:rPr>
        <w:t xml:space="preserve"> </w:t>
      </w:r>
      <w:r w:rsidRPr="00ED5E38">
        <w:rPr>
          <w:noProof/>
          <w:color w:val="000000" w:themeColor="text1"/>
          <w:sz w:val="26"/>
          <w:szCs w:val="26"/>
          <w:lang w:val="vi-VN"/>
        </w:rPr>
        <w:t>là</w:t>
      </w:r>
      <w:r w:rsidRPr="00ED5E38">
        <w:rPr>
          <w:b/>
          <w:bCs/>
          <w:noProof/>
          <w:color w:val="000000" w:themeColor="text1"/>
          <w:sz w:val="26"/>
          <w:szCs w:val="26"/>
          <w:lang w:val="vi-VN"/>
        </w:rPr>
        <w:t xml:space="preserve"> </w:t>
      </w:r>
      <w:r w:rsidRPr="00ED5E38">
        <w:rPr>
          <w:rStyle w:val="Strong"/>
          <w:b w:val="0"/>
          <w:bCs w:val="0"/>
          <w:noProof/>
          <w:color w:val="000000" w:themeColor="text1"/>
          <w:sz w:val="26"/>
          <w:szCs w:val="26"/>
          <w:lang w:val="vi-VN"/>
        </w:rPr>
        <w:t>“một dấu hiệu giả mạo giống hệt hoặc gần như không thể phân biệt với nhãn hiệu đã đăng ký”</w:t>
      </w:r>
      <w:r w:rsidRPr="00ED5E38">
        <w:rPr>
          <w:rStyle w:val="FootnoteReference"/>
          <w:rFonts w:eastAsia="DengXian Light"/>
          <w:noProof/>
          <w:color w:val="000000" w:themeColor="text1"/>
          <w:sz w:val="26"/>
          <w:szCs w:val="26"/>
          <w:lang w:val="vi-VN"/>
        </w:rPr>
        <w:footnoteReference w:id="26"/>
      </w:r>
      <w:r w:rsidRPr="00ED5E38">
        <w:rPr>
          <w:rStyle w:val="Strong"/>
          <w:b w:val="0"/>
          <w:bCs w:val="0"/>
          <w:noProof/>
          <w:color w:val="000000" w:themeColor="text1"/>
          <w:sz w:val="26"/>
          <w:szCs w:val="26"/>
          <w:lang w:val="vi-VN"/>
        </w:rPr>
        <w:t>.</w:t>
      </w:r>
    </w:p>
    <w:p w14:paraId="0259A1EB"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Tại Pháp, thuật ngữ được sử dụng là “contrefaçon”, theo đó: “Xét dưới góc độ pháp lý, hoạt động hàng giả được định nghĩa là hoạt động làm giả, bắt chước hoặc sử dụng toàn bộ hoặc một phần nhãn hiệu, kiểu dáng, mẫu hữu ích sáng chế, phần mềm, quyền tác giả hoặc quyền đối với giống cây trồng mà không có sự đồng ý của chủ sở hữu”</w:t>
      </w:r>
      <w:r w:rsidRPr="00ED5E38">
        <w:rPr>
          <w:noProof/>
          <w:color w:val="000000" w:themeColor="text1"/>
          <w:sz w:val="26"/>
          <w:szCs w:val="26"/>
          <w:vertAlign w:val="superscript"/>
          <w:lang w:val="vi-VN"/>
        </w:rPr>
        <w:footnoteReference w:id="27"/>
      </w:r>
      <w:r w:rsidRPr="00ED5E38">
        <w:rPr>
          <w:noProof/>
          <w:color w:val="000000" w:themeColor="text1"/>
          <w:sz w:val="26"/>
          <w:szCs w:val="26"/>
          <w:lang w:val="vi-VN"/>
        </w:rPr>
        <w:t xml:space="preserve"> . Theo cách hiểu của Pháp, hoạt động hàng giả luôn gắn với một sự vi phạm quyền sở hữu trí tuệ, bao gồm cả quyền sở hữu công nghiệp, quyền tác giả hay quyền đối với giống cây trồng. </w:t>
      </w:r>
    </w:p>
    <w:p w14:paraId="43A575EF"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Tương tự như vậy, theo khoản 4 điều 1252 Bộ luật Dân sự Liên bang Nga: “Trong trường hợp việc sản xuất, phổ biến hoặc những hình thức sử dụng khác cũng như việc nhập khẩu, vận chuyển hay tàng trữ các vật phẩm có chứa đựng các kết quả của hoạt động trí tuệ hoặc các dấu hiệu phân biệt dẫn tới vi phạm độc quyền đối với các đối tượng này thì các vật phẩm trên được coi là giả mạo. Tại Liên bang Nga, theo quyết định của Tòa án, những vật phẩm này sẽ bị đưa khỏi lưu thông và buộc tiêu hủy”</w:t>
      </w:r>
      <w:r w:rsidRPr="00ED5E38">
        <w:rPr>
          <w:rStyle w:val="FootnoteReference"/>
          <w:rFonts w:eastAsia="DengXian Light"/>
          <w:noProof/>
          <w:color w:val="000000" w:themeColor="text1"/>
          <w:sz w:val="26"/>
          <w:szCs w:val="26"/>
          <w:lang w:val="vi-VN"/>
        </w:rPr>
        <w:footnoteReference w:id="28"/>
      </w:r>
      <w:r w:rsidRPr="00ED5E38">
        <w:rPr>
          <w:noProof/>
          <w:color w:val="000000" w:themeColor="text1"/>
          <w:sz w:val="26"/>
          <w:szCs w:val="26"/>
          <w:lang w:val="vi-VN"/>
        </w:rPr>
        <w:t>.</w:t>
      </w:r>
    </w:p>
    <w:p w14:paraId="3DAA2932" w14:textId="77777777" w:rsidR="002165C0" w:rsidRPr="00ED5E38" w:rsidRDefault="002165C0" w:rsidP="00ED5E38">
      <w:pPr>
        <w:pStyle w:val="Heading3"/>
        <w:ind w:firstLine="720"/>
        <w:rPr>
          <w:rFonts w:cs="Times New Roman"/>
          <w:i w:val="0"/>
          <w:iCs/>
          <w:noProof/>
          <w:color w:val="000000" w:themeColor="text1"/>
          <w:lang w:val="vi-VN"/>
        </w:rPr>
      </w:pPr>
      <w:r w:rsidRPr="00ED5E38">
        <w:rPr>
          <w:rFonts w:cs="Times New Roman"/>
          <w:i w:val="0"/>
          <w:iCs/>
          <w:noProof/>
          <w:color w:val="000000" w:themeColor="text1"/>
          <w:lang w:val="vi-VN"/>
        </w:rPr>
        <w:t>* Quy định về hàng giả trong pháp luật Việt Nam</w:t>
      </w:r>
    </w:p>
    <w:p w14:paraId="43FB25B3"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Thuật ngữ “hàng giả” lần đầu tiên được sử dụng kể từ khi đất nước được thống nhất là trong </w:t>
      </w:r>
      <w:bookmarkStart w:id="2" w:name="_Hlk220571903"/>
      <w:r w:rsidRPr="00ED5E38">
        <w:rPr>
          <w:noProof/>
          <w:color w:val="000000" w:themeColor="text1"/>
          <w:sz w:val="26"/>
          <w:szCs w:val="26"/>
          <w:lang w:val="vi-VN"/>
        </w:rPr>
        <w:t>Pháp lệnh Trừng trị tội đầu lậu cơ, buôn, làm hàng giả, kinh doanh trái phép năm 1982</w:t>
      </w:r>
      <w:bookmarkEnd w:id="2"/>
      <w:r w:rsidRPr="00ED5E38">
        <w:rPr>
          <w:noProof/>
          <w:color w:val="000000" w:themeColor="text1"/>
          <w:sz w:val="26"/>
          <w:szCs w:val="26"/>
          <w:lang w:val="vi-VN"/>
        </w:rPr>
        <w:t xml:space="preserve"> và được kế thừa tại Bộ luật Hình sự năm 1985. Trong đó, Pháp lệnh và Bộ luật Hình sự năm 1985 có quy định phạt tù đối với hành vi làm hàng giả và buôn bán hàng giả. Tuy nhiên, cả hai văn bản này đều không xây dựng khái niệm pháp lý về hàng giả. Pháp luật thời kỳ này chủ yếu tập trung vào việc xác định hành vi làm, buôn bán hàng giả như một dạng tội phạm kinh tế, với các khung hình phạt nghiêm khắc, đặc biệt đối với các nhóm hàng hóa ảnh hưởng trực tiếp đến sức khỏe, tính mạng con người. Cách tiếp cận này phản ánh đặc điểm của nền kinh tế kế hoạch hóa tập trung, trong đó vai trò của pháp luật thiên về trừng trị và bảo đảm trật tự quản lý, hơn là điều tiết các quan hệ thị trường phức tạp. </w:t>
      </w:r>
    </w:p>
    <w:p w14:paraId="14E22942"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Văn bản pháp luật đầu tiên đưa ra định nghĩa về hàng giả là Nghị định 140/HĐBT ngày 25/4/1991 của Hội đồng Bộ trưởng quy định về việc kiểm tra, xử lý hoạt động sản </w:t>
      </w:r>
      <w:r w:rsidRPr="00ED5E38">
        <w:rPr>
          <w:noProof/>
          <w:color w:val="000000" w:themeColor="text1"/>
          <w:sz w:val="26"/>
          <w:szCs w:val="26"/>
          <w:lang w:val="vi-VN"/>
        </w:rPr>
        <w:lastRenderedPageBreak/>
        <w:t xml:space="preserve">xuất buôn bán hàng giả. Theo đó, Điều 3 của Nghị định quy định: </w:t>
      </w:r>
      <w:r w:rsidRPr="00ED5E38">
        <w:rPr>
          <w:i/>
          <w:iCs/>
          <w:noProof/>
          <w:color w:val="000000" w:themeColor="text1"/>
          <w:sz w:val="26"/>
          <w:szCs w:val="26"/>
          <w:lang w:val="vi-VN"/>
        </w:rPr>
        <w:t>“Hàng giả theo Nghị định này, là những sản phẩm, hàng hoá được sản xuất ra trái pháp luật có hình dáng giống như những sản phẩm, hàng hoá được Nhà nước cho phép sản xuất, nhập khẩu và tiêu thụ trên thị trường; hoặc những sản phẩm, hàng hoá không có giá trị sử dụng đúng với nguồn gốc, bản chất tự nhiên, tên gọi và công dụng của nó”</w:t>
      </w:r>
      <w:r w:rsidRPr="00ED5E38">
        <w:rPr>
          <w:noProof/>
          <w:color w:val="000000" w:themeColor="text1"/>
          <w:sz w:val="26"/>
          <w:szCs w:val="26"/>
          <w:lang w:val="vi-VN"/>
        </w:rPr>
        <w:t xml:space="preserve"> và Điều 4 của Nghị định quy định các dấu hiệu để xác định một hàng hóa là hàng giả. Theo đó, hàng giả được xác định bao gồm giả về hình thức (nhãn hiệu, dấu ghi phù hợp tiêu chuẩn) và giả về nội dung (chất lượng thấp hơn mức tối thiểu cho phép hoặc giá trị sử dụng không đúng với nguồn gốc, bản chất, tự nhiên, tên gọi và công dụng của nó).</w:t>
      </w:r>
    </w:p>
    <w:p w14:paraId="43558BAA"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Trên cơ sở đó, Thông tư liên bộ 1254/TTLB năm 1991 hướng dẫn Nghị định 140-HĐBT về việc kiểm tra, xử lý việc sản xuất, buôn bán hàng giả do Bộ Thương mại và Du lịch- Uỷ ban Khoa học Nhà nước ban hành tiếp tục hoàn thiện cách tiếp cận này khi làm rõ ranh giới giữa hàng giả và hàng kém chất lượng, đồng thời đưa ra quy định về “mức chất lượng tối thiểu” như một tiêu chí pháp lý quan trọng để phân biệt hàng giả và hàng kém chất lượng</w:t>
      </w:r>
      <w:r w:rsidRPr="00ED5E38">
        <w:rPr>
          <w:rStyle w:val="FootnoteReference"/>
          <w:rFonts w:eastAsia="DengXian Light"/>
          <w:noProof/>
          <w:color w:val="000000" w:themeColor="text1"/>
          <w:sz w:val="26"/>
          <w:szCs w:val="26"/>
          <w:lang w:val="vi-VN"/>
        </w:rPr>
        <w:footnoteReference w:id="29"/>
      </w:r>
      <w:r w:rsidRPr="00ED5E38">
        <w:rPr>
          <w:noProof/>
          <w:color w:val="000000" w:themeColor="text1"/>
          <w:sz w:val="26"/>
          <w:szCs w:val="26"/>
          <w:lang w:val="vi-VN"/>
        </w:rPr>
        <w:t xml:space="preserve">. </w:t>
      </w:r>
    </w:p>
    <w:p w14:paraId="43DBC58F"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Kể từ sau Nghị định 140/HĐBT năm 1991, thuật ngữ “hàng giả</w:t>
      </w:r>
      <w:r w:rsidRPr="00ED5E38">
        <w:rPr>
          <w:noProof/>
          <w:color w:val="000000" w:themeColor="text1"/>
          <w:sz w:val="26"/>
          <w:szCs w:val="26"/>
          <w:lang w:val="vi-VN"/>
        </w:rPr>
        <w:br/>
        <w:t xml:space="preserve"> tiếp tục được đề cập đến trong nhiều văn bản pháp luật của Việt Nam, từ các văn bản về xử lý vi phạm hành chính, hình sự</w:t>
      </w:r>
      <w:r w:rsidRPr="00ED5E38">
        <w:rPr>
          <w:rStyle w:val="FootnoteReference"/>
          <w:rFonts w:eastAsia="DengXian Light"/>
          <w:noProof/>
          <w:color w:val="000000" w:themeColor="text1"/>
          <w:sz w:val="26"/>
          <w:szCs w:val="26"/>
          <w:lang w:val="vi-VN"/>
        </w:rPr>
        <w:footnoteReference w:id="30"/>
      </w:r>
      <w:r w:rsidRPr="00ED5E38">
        <w:rPr>
          <w:noProof/>
          <w:color w:val="000000" w:themeColor="text1"/>
          <w:sz w:val="26"/>
          <w:szCs w:val="26"/>
          <w:lang w:val="vi-VN"/>
        </w:rPr>
        <w:t xml:space="preserve"> đến các văn bản về kinh doanh thương mại</w:t>
      </w:r>
      <w:r w:rsidRPr="00ED5E38">
        <w:rPr>
          <w:rStyle w:val="FootnoteReference"/>
          <w:rFonts w:eastAsia="DengXian Light"/>
          <w:noProof/>
          <w:color w:val="000000" w:themeColor="text1"/>
          <w:sz w:val="26"/>
          <w:szCs w:val="26"/>
          <w:lang w:val="vi-VN"/>
        </w:rPr>
        <w:footnoteReference w:id="31"/>
      </w:r>
      <w:r w:rsidRPr="00ED5E38">
        <w:rPr>
          <w:noProof/>
          <w:color w:val="000000" w:themeColor="text1"/>
          <w:sz w:val="26"/>
          <w:szCs w:val="26"/>
          <w:lang w:val="vi-VN"/>
        </w:rPr>
        <w:t>, bảo hộ sở hữu trí tuệ</w:t>
      </w:r>
      <w:r w:rsidRPr="00ED5E38">
        <w:rPr>
          <w:rStyle w:val="FootnoteReference"/>
          <w:rFonts w:eastAsia="DengXian Light"/>
          <w:noProof/>
          <w:color w:val="000000" w:themeColor="text1"/>
          <w:sz w:val="26"/>
          <w:szCs w:val="26"/>
          <w:lang w:val="vi-VN"/>
        </w:rPr>
        <w:footnoteReference w:id="32"/>
      </w:r>
      <w:r w:rsidRPr="00ED5E38">
        <w:rPr>
          <w:noProof/>
          <w:color w:val="000000" w:themeColor="text1"/>
          <w:sz w:val="26"/>
          <w:szCs w:val="26"/>
          <w:lang w:val="vi-VN"/>
        </w:rPr>
        <w:t>, hải quan</w:t>
      </w:r>
      <w:r w:rsidRPr="00ED5E38">
        <w:rPr>
          <w:rStyle w:val="FootnoteReference"/>
          <w:rFonts w:eastAsia="DengXian Light"/>
          <w:noProof/>
          <w:color w:val="000000" w:themeColor="text1"/>
          <w:sz w:val="26"/>
          <w:szCs w:val="26"/>
          <w:lang w:val="vi-VN"/>
        </w:rPr>
        <w:footnoteReference w:id="33"/>
      </w:r>
      <w:r w:rsidRPr="00ED5E38">
        <w:rPr>
          <w:noProof/>
          <w:color w:val="000000" w:themeColor="text1"/>
          <w:sz w:val="26"/>
          <w:szCs w:val="26"/>
          <w:lang w:val="vi-VN"/>
        </w:rPr>
        <w:t>, bao gồm cả các văn bản chỉ đạo, điều hành của Chính phủ</w:t>
      </w:r>
      <w:r w:rsidRPr="00ED5E38">
        <w:rPr>
          <w:rStyle w:val="FootnoteReference"/>
          <w:rFonts w:eastAsia="DengXian Light"/>
          <w:noProof/>
          <w:color w:val="000000" w:themeColor="text1"/>
          <w:sz w:val="26"/>
          <w:szCs w:val="26"/>
          <w:lang w:val="vi-VN"/>
        </w:rPr>
        <w:footnoteReference w:id="34"/>
      </w:r>
      <w:r w:rsidRPr="00ED5E38">
        <w:rPr>
          <w:noProof/>
          <w:color w:val="000000" w:themeColor="text1"/>
          <w:sz w:val="26"/>
          <w:szCs w:val="26"/>
          <w:lang w:val="vi-VN"/>
        </w:rPr>
        <w:t>. Tùy trong từng bối cảnh, phù hợp với nhu cầu đấu tranh chống hàng giả trong từng lĩnh vực mà các trường hợp được xác định là hàng giả có thể được hiểu theo nghĩa khác nhau. Hơn nữa, qua các giai đoạn, khái niệm hàng giả trong pháp luật Việt Nam cũng đã có sự phát triển, hoàn thiện đáng kể.</w:t>
      </w:r>
    </w:p>
    <w:p w14:paraId="6136DFC1"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lastRenderedPageBreak/>
        <w:t>Trong giai đoạn từ năm 2013 đến năm 2020, khái niệm “hàng giả” được quy định theo hướng liệt kê cụ thể, chi tiết và có tính kỹ thuật cao. Về nội hàm, các trường hợp được xác định là “hàng giả” trong Nghị định 08/2013/NĐ-CP này 10/01/2013 của Chính phủ quy định xử phạt vi phạm hành chính đối với hành vi sản xuất, buôn bán hàng giả, Nghị định 185/2013/NĐ-CP ngày 15/11/2013 của Chính phủ quy định xử phạt vi phạm hành chính trong hoạt động thương mại, sản xuất, buôn bán hàng giả, hàng cấm và bảo vệ quyền lợi người tiêu dùng (được sửa đổi, bổ sung bởi Nghị định số 124/2015/NĐ-CP) cũng xác định hàng giả bao gồm cả giả về hình thức và giả về nội dung</w:t>
      </w:r>
      <w:r w:rsidRPr="00ED5E38">
        <w:rPr>
          <w:rStyle w:val="FootnoteReference"/>
          <w:rFonts w:eastAsia="DengXian Light"/>
          <w:noProof/>
          <w:color w:val="000000" w:themeColor="text1"/>
          <w:sz w:val="26"/>
          <w:szCs w:val="26"/>
          <w:lang w:val="vi-VN"/>
        </w:rPr>
        <w:footnoteReference w:id="35"/>
      </w:r>
      <w:r w:rsidRPr="00ED5E38">
        <w:rPr>
          <w:noProof/>
          <w:color w:val="000000" w:themeColor="text1"/>
          <w:sz w:val="26"/>
          <w:szCs w:val="26"/>
          <w:lang w:val="vi-VN"/>
        </w:rPr>
        <w:t>. Trong đó, “hàng giả” trong giai đoạn này có quy định rõ ràng bao gồm cả hàng giả mạo về sở hữu trí tuệ theo quy định tại </w:t>
      </w:r>
      <w:bookmarkStart w:id="3" w:name="dc_1"/>
      <w:r w:rsidRPr="00ED5E38">
        <w:rPr>
          <w:noProof/>
          <w:color w:val="000000" w:themeColor="text1"/>
          <w:sz w:val="26"/>
          <w:szCs w:val="26"/>
          <w:lang w:val="vi-VN"/>
        </w:rPr>
        <w:t>Điều 213 Luật Sở hữu trí tuệ năm 2005</w:t>
      </w:r>
      <w:bookmarkEnd w:id="3"/>
      <w:r w:rsidRPr="00ED5E38">
        <w:rPr>
          <w:noProof/>
          <w:color w:val="000000" w:themeColor="text1"/>
          <w:sz w:val="26"/>
          <w:szCs w:val="26"/>
          <w:lang w:val="vi-VN"/>
        </w:rPr>
        <w:t xml:space="preserve"> (kế thừa Nghị định 06/2008/NĐ-CP). Đặc biệt, các Nghị định này có quy định ra ngưỡng tỷ lệ định lượng “70%” đối với các chỉ tiêu chất lượng hoặc đặc tính kỹ thuật cơ bản nhằm tăng tính minh bạch, giảm tùy nghi trong áp dụng pháp luật đối với các quy định về hàng giả.</w:t>
      </w:r>
    </w:p>
    <w:p w14:paraId="1132E308"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Ngày 26/8/2020, Chính phủ ban hành Nghị định 98/2020/NĐ-CP quy định về xử phạt vi phạm hành chính trong hoạt động thương mại, sản xuất, buôn bán hàng giả, hàng cấm và bảo vệ quyền lợi người tiêu dùng, trong đó, kế thừa các quy định về các trường hợp được xác định là “hàng giả” tại các văn bản trước đây và sửa đổi, bổ sung, trong đó, “hàng giả” bao gồm:</w:t>
      </w:r>
    </w:p>
    <w:p w14:paraId="683C5D4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Hàng hóa có giá trị sử dụng, công dụng không đúng với nguồn gốc bản chất tự nhiên, tên gọi của hàng hóa; hàng hóa không có giá trị sử dụng, công dụng hoặc có giá trị sử dụng, công dụng không đúng so với giá trị sử dụng, công dụng đã công bố hoặc đăng ký;</w:t>
      </w:r>
    </w:p>
    <w:p w14:paraId="6ED46A66"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Hàng hóa có ít nhất một trong các chỉ tiêu chất lượng hoặc đặc tính kỹ thuật cơ bản hoặc định lượng chất chính tạo nên giá trị sử dụng, công dụng của hàng hóa chỉ đạt mức từ 70% trở xuống so với mức tối thiểu quy định tại quy chuẩn kỹ thuật hoặc tiêu chuẩn chất lượng đã đăng ký, công bố áp dụng hoặc ghi trên nhãn, bao bì hàng hóa;</w:t>
      </w:r>
    </w:p>
    <w:p w14:paraId="6602CEED"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Thuốc giả theo quy định tại khoản 33 Điều 2 của Luật Dược năm 2016 và dược liệu giả theo quy định tại khoản 34 Điều 2 của Luật Dược năm 2016;</w:t>
      </w:r>
    </w:p>
    <w:p w14:paraId="14C94E50"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Thuốc thú y, thuốc bảo vệ thực vật không có hoạt chất; không có đủ loại hoạt chất đã đăng ký; có hoạt chất khác với hoạt chất ghi trên nhãn, bao bì hàng hóa; có ít nhất một trong các hàm lượng hoạt chất chỉ đạt từ 70% trở xuống so với mức tối thiểu quy định tại quy chuẩn kỹ thuật hoặc tiêu chuẩn chất lượng đã đăng ký, công bố áp dụng;</w:t>
      </w:r>
    </w:p>
    <w:p w14:paraId="09CE225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Hàng hóa có nhãn hàng hóa hoặc bao bì hàng hóa ghi chỉ dẫn giả mạo tên, địa 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w:t>
      </w:r>
    </w:p>
    <w:p w14:paraId="44081DD3"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lastRenderedPageBreak/>
        <w:t xml:space="preserve">- Tem, nhãn, bao bì hàng hóa giả. Trong đó, “tem, nhãn, bao bì hàng hóa giả” gồm đề can, nhãn hàng hóa, bao bì hàng hóa, các loại tem chất lượng, dấu chất lượng, tem truy xuất nguồn gốc, phiếu bảo hành, niêm màng co hàng hóa hoặc vật phẩm khác của tổ chức, cá nhân kinh doanh có chỉ dẫn giả mạo tên, địa chỉ của tổ chức, cá nhân khác; giả mạo tên thương mại, tên thương phẩm, mã số mã vạch, mã số đăng ký lưu hành, mã số công bố của hàng hóa hoặc bao bì hàng hóa của tổ chức, cá nhân khác. </w:t>
      </w:r>
    </w:p>
    <w:p w14:paraId="066D06AA"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Khái niệm “hàng giả” trong Nghị định số 98/2020/NĐ-CP về cơ bản kế thừa khái niệm “hàng giả” tại các văn bản trước đây, đặc biệt là tỷ lệ “70%” trong việc đánh giá về chất lượng. Đồng thời, Nghị định số 98/2020/NĐ-CP đã bổ sung thêm các yếu tố về mã vạch, mã số công bố, tem truy xuất nguồn gốc và thông tin xuất xứ hàng hóa để phù hợp với quy định về quản lý trong lưu thông hàng hóa đã, tuy nhiên, không còn bao gồm hàng giả mạo về sở hữu trí tuệ theo quy định tại Điều 213 Luật Sở hữu trí tuệ năm 2005.</w:t>
      </w:r>
    </w:p>
    <w:p w14:paraId="1FA56786"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“Hàng giả” theo Nghị định số 98/2020/NĐ-CP bao gồm hai loại: (1) giả về nội dung (giá trị sử dụng, công dụng, chất lượng); (2) giả về hình thức (giả mạo tem, nhãn, bao bì, nguồn gốc, xuất xứ)</w:t>
      </w:r>
    </w:p>
    <w:p w14:paraId="27814943"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Nhìn chung, xuyên suốt trong sự phát triển của khái niệm hàng giả trong pháp luật Việt Nam luôn có sự phân biệt giữa hàng giả về nội dung và hàng giả về hình thức. Dưới nhiều góc độ, sự phân biệt này có ý nghĩa quan trọng. Xét dưới góc độ kinh tế - xã hội, những hàng giả về nội dung gây thiệt hại trực tiếp đến người tiêu dùng. Khi mua phải hàng giả về nội dung, tức là hàng hóa không có giá trị sử dụng, công dụng hoặc có giá trị sử dụng, công dụng không đúng với nguồn gốc bản chất tự nhiên, tên gọi của hàng hoá..., người tiêu dùng bị thiệt hại về kinh tế, thậm chí thiệt hại về sức khỏe tính mạng. Trong khi đó, đối với những loại hàng giả về hình thức, tức là hàng hóa giả mạo về bao bì, nhãn hàng hóa, sự thiệt hại lại chủ yếu và trước hết thuộc về những thương nhân có hàng hóa thật bị làm nhái, làm giả. Trong trường hợp này, người tiêu dùng cũng có thể là nạn nhân nếu chất lượng của hàng hóa cũng bị giả mạo. Trái lại, trong nhiều trường hợp, người tiêu dùng có thể “đồng lõa” với người buôn bán hàng giả khi họ chấp nhận chất lượng hàng hóa có thể thấp nhưng với giá rẻ và gắn nhãn, bao bì của thương nhân có uy tín.</w:t>
      </w:r>
    </w:p>
    <w:p w14:paraId="25E4510E"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Có thể thấy, khái niệm “hàng giả” không phải là một khái niệm mới phát sinh mà đã được nghiên cứu, phát triển qua nhiều giai đoạn lịch sử lập pháp khác nhau. Điều đó cho thấy quan điểm của Đảng và Nhà nước ta trong việc kiên quyết đấu tranh với các hành vi sản xuất, buôn bán hàng giả, coi đây là những vi phạm pháp luật nghiêm trọng, xâm hại trực tiếp đến trật tự quản lý nhà nước, môi trường kinh doanh lành mạnh và lợi ích chính đáng của xã hội. </w:t>
      </w:r>
    </w:p>
    <w:p w14:paraId="43064507"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Tuy nhiên, việc quy định khái niệm “hàng giả” trong hệ thống pháp luật hiện nay vẫn chỉ đang được quy định ở cấp nghị định, trong khi các đạo luật nền tảng điều chỉnh hoạt động thương mại, đặc biệt là Luật Thương mại, lại không có quy định mang tính khái quát và định hướng về hàng giả. </w:t>
      </w:r>
    </w:p>
    <w:p w14:paraId="6292E732" w14:textId="482EDD44"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lastRenderedPageBreak/>
        <w:t xml:space="preserve">Do đó, việc quy định khái niệm “hàng giả” mang tính khái quát trong Luật Thương mại không chỉ là cần thiết mà còn mang ý nghĩa then chốt trong hoàn thiện thể chế pháp luật về thương mại. Quy định này có vai trò xác lập nguyên tắc chung, làm cơ sở pháp lý thống nhất cho toàn bộ hệ thống văn bản pháp luật liên quan đến phòng, chống hàng giả, qua đó khắc phục tình trạng phân tán và thiếu nhất quán hiện nay. </w:t>
      </w:r>
    </w:p>
    <w:p w14:paraId="38BC5835" w14:textId="77777777" w:rsidR="002165C0"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Đồng thời, việc quy định khái niệm “hàng giả” tại Luật Thương mại sẽ làm cơ sở pháp lý và động lực thúc đẩy cho việc nghiên cứu, quy định các nội dung về quản lý, ứng dụng công nghệ, hợp tác quốc tế và các chính sách của nhà nước trong đấu tranh, phòng, chống hàng giả cũng như cho thấy quan điểm và thái độ mạnh mẽ của Nhà nước ta trong việc đấu tranh, ngăn chặn việc sản xuất, buôn bán hàng giả trên thị trường.</w:t>
      </w:r>
    </w:p>
    <w:p w14:paraId="564E51C6" w14:textId="0F2D356A" w:rsidR="00581F21" w:rsidRPr="00ED5E38" w:rsidRDefault="002165C0" w:rsidP="00ED5E38">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Với tư cách là luật khung điều chỉnh các quan hệ thương mại cơ bản, Luật Thương mại cần ghi nhận khái niệm hàng giả, tạo nền tảng để các nghị định và văn bản pháp luật chuyên ngành tiếp tục cụ thể hóa theo từng nhóm hàng hóa, từng lĩnh vực quản lý. Cách tiếp cận này vừa bảo đảm tính thống nhất, minh bạch của hệ thống pháp luật, vừa đáp ứng yêu cầu linh hoạt trong quản lý nhà nước đối với các loại hàng hóa và phương thức kinh doanh ngày càng đa dạng, phức tạp. </w:t>
      </w:r>
    </w:p>
    <w:p w14:paraId="51E2238E" w14:textId="6792C998" w:rsidR="00581F21" w:rsidRPr="00ED5E38" w:rsidRDefault="00581F21" w:rsidP="00BA0E6B">
      <w:pPr>
        <w:pStyle w:val="Heading2"/>
      </w:pPr>
      <w:r w:rsidRPr="00ED5E38">
        <w:t>2.1.1.2. Vấn đề 2: Bãi bỏ và sửa đổi một số quy định của Luật Thương mại nhằm bảo đảm thống nhất pháp luật và thúc đẩy môi trường kinh doanh</w:t>
      </w:r>
    </w:p>
    <w:p w14:paraId="10ABB867" w14:textId="424B41A1" w:rsidR="009C12D4" w:rsidRPr="00B74600" w:rsidRDefault="009C12D4" w:rsidP="00ED5E38">
      <w:pPr>
        <w:pStyle w:val="NormalWeb"/>
        <w:spacing w:before="120" w:beforeAutospacing="0" w:after="120" w:afterAutospacing="0" w:line="340" w:lineRule="exact"/>
        <w:ind w:firstLine="720"/>
        <w:jc w:val="both"/>
        <w:rPr>
          <w:b/>
          <w:bCs/>
          <w:i/>
          <w:iCs/>
          <w:noProof/>
          <w:color w:val="000000" w:themeColor="text1"/>
          <w:sz w:val="26"/>
          <w:szCs w:val="26"/>
          <w:lang w:val="vi-VN"/>
        </w:rPr>
      </w:pPr>
      <w:r w:rsidRPr="00B74600">
        <w:rPr>
          <w:b/>
          <w:bCs/>
          <w:i/>
          <w:iCs/>
          <w:noProof/>
          <w:color w:val="000000" w:themeColor="text1"/>
          <w:sz w:val="26"/>
          <w:szCs w:val="26"/>
          <w:lang w:val="vi-VN"/>
        </w:rPr>
        <w:t>a) Bối cảnh quốc tế</w:t>
      </w:r>
    </w:p>
    <w:p w14:paraId="2B75B2EF" w14:textId="1770F93F" w:rsidR="00341621" w:rsidRPr="00ED5E38" w:rsidRDefault="00341621" w:rsidP="00ED5E38">
      <w:pPr>
        <w:pStyle w:val="NormalWeb"/>
        <w:spacing w:before="120" w:beforeAutospacing="0" w:after="120" w:afterAutospacing="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Luật Thương mại được Quốc hội thông qua năm 2005 và có hiệu lực và ngày 01/01/2006. Luật Thương Mại là cơ sở pháp lý để phát triển nền kinh tế hàng hóa nhiều thành phần theo cơ chế thị trường có sự quản lý của Nhà nước theo định hướng xã hội chủ nghĩa; trong đó kinh tế Nhà nước giữ vai trò chủ đạo và cùng với kinh tế hợp tác xã là nền tảng của nền kinh tế quốc dân; phát triển thị trường hàng hóa và dịch vụ thương mại trên các vùng của đất nước; mở rộng giao lưu thương mại với nước ngoài; góp phần đẩy mạnh sản xuất, cải thiện đời sống nhân dân, bảo vệ lợi ích chính đáng của người sản xuất, người tiêu dùng và lợi ích hợp pháp của thương nhân, góp phần tích lũy nhằm thúc đẩy toàn bộ nền kinh tế tăng trưởng nhanh và bền vững theo hướng công nghiệp hóa, hiện đại hóa, vì mục tiêu dân giàu, nước mạnh, xã hội công bằng, dân chủ và văn minh.</w:t>
      </w:r>
    </w:p>
    <w:p w14:paraId="31696704" w14:textId="1669AE99" w:rsidR="00341621" w:rsidRPr="00ED5E38" w:rsidRDefault="00341621" w:rsidP="00ED5E38">
      <w:pPr>
        <w:pStyle w:val="NormalWeb"/>
        <w:spacing w:before="120" w:beforeAutospacing="0" w:after="120" w:afterAutospacing="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Luật Thương mại năm 2005 ra đời trong bối cảnh Việt Nam đang đàm phán gia nhập Tổ chức thương mại thế giới (WTO), do vậy, cùng với các luật khác, Luật thương mại có vai trò lịch sử đưa Việt Nam gia nhập vào WTO. Sau gần 12 năm thi hành luật đã đạt được những kết quả đáng kể. Trong bối cảnh hội nhập kinh tế quốc tế sâu rộng, hệ thống pháp luật thương mại Việt Nam đang đứng trước thách thức về sự thiếu đồng bộ và chồng chéo giữa các văn bản quy phạm pháp luật. Do đó, việc sửa đổi Luật Thương mại là tất yếu nhằm xác lập lại vai trò 'luật khung', tạo sự liên thông chặt chẽ với các luật chuyên ngành và đảm bảo tính tương thích tuyệt đối với các tiêu chuẩn quốc tế trong các FTA thế hệ mới, từ đó cắt giảm chi phí tuân thủ và bảo vệ quyền lợi hợp pháp cho doanh nghiệp</w:t>
      </w:r>
    </w:p>
    <w:p w14:paraId="36E1972C" w14:textId="167CA598" w:rsidR="009C12D4" w:rsidRPr="00B74600" w:rsidRDefault="009C12D4" w:rsidP="00ED5E38">
      <w:pPr>
        <w:pStyle w:val="NormalWeb"/>
        <w:spacing w:before="120" w:beforeAutospacing="0" w:after="120" w:afterAutospacing="0" w:line="340" w:lineRule="exact"/>
        <w:ind w:firstLine="720"/>
        <w:jc w:val="both"/>
        <w:rPr>
          <w:b/>
          <w:bCs/>
          <w:i/>
          <w:iCs/>
          <w:noProof/>
          <w:color w:val="000000" w:themeColor="text1"/>
          <w:sz w:val="26"/>
          <w:szCs w:val="26"/>
          <w:lang w:val="vi-VN"/>
        </w:rPr>
      </w:pPr>
      <w:r w:rsidRPr="00B74600">
        <w:rPr>
          <w:b/>
          <w:bCs/>
          <w:i/>
          <w:iCs/>
          <w:noProof/>
          <w:color w:val="000000" w:themeColor="text1"/>
          <w:sz w:val="26"/>
          <w:szCs w:val="26"/>
          <w:lang w:val="vi-VN"/>
        </w:rPr>
        <w:t>b) Bối cảnh trong nước</w:t>
      </w:r>
    </w:p>
    <w:p w14:paraId="5B06C597" w14:textId="43A0DE07" w:rsidR="00341621" w:rsidRPr="00ED5E38" w:rsidRDefault="00341621" w:rsidP="00ED5E38">
      <w:pPr>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lastRenderedPageBreak/>
        <w:t xml:space="preserve">Thực tiễn </w:t>
      </w:r>
      <w:r w:rsidRPr="00ED5E38">
        <w:rPr>
          <w:noProof/>
          <w:color w:val="000000" w:themeColor="text1"/>
          <w:sz w:val="26"/>
          <w:szCs w:val="26"/>
          <w:lang w:val="vi-VN"/>
        </w:rPr>
        <w:t>triển khai thi hành Luật Thương mại đã phát sinh một số khó khăn, vướng mắc như sau:</w:t>
      </w:r>
    </w:p>
    <w:p w14:paraId="2CA42878" w14:textId="2F2F5DEC" w:rsidR="00826590" w:rsidRPr="00ED5E38" w:rsidRDefault="00341621"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Trong thời điểm hiện nay, khi hệ thống pháp luật về kinh tế có nhiều thay đổi, nhiều luật mới được ban hành, sửa đổi cho phù hợp Hiến pháp như Luật Đầu tư, Bộ luật dân sự…thì việc thi hành Luật Thương mại năm 2005 không thể không tránh khỏi những bất cập, vướng mắc cần nghiên cứu hoàn thiện.</w:t>
      </w:r>
      <w:r w:rsidR="00532492" w:rsidRPr="00ED5E38">
        <w:rPr>
          <w:noProof/>
          <w:color w:val="000000" w:themeColor="text1"/>
          <w:sz w:val="26"/>
          <w:szCs w:val="26"/>
          <w:lang w:val="vi-VN"/>
        </w:rPr>
        <w:t xml:space="preserve"> </w:t>
      </w:r>
      <w:r w:rsidR="00826590" w:rsidRPr="00ED5E38">
        <w:rPr>
          <w:noProof/>
          <w:color w:val="000000" w:themeColor="text1"/>
          <w:sz w:val="26"/>
          <w:szCs w:val="26"/>
          <w:lang w:val="vi-VN"/>
        </w:rPr>
        <w:t>Qua thực tiễn triển khai, Bộ Công Thương nhận thấy còn phát sinh nhiều khó khăn, vướng mắc, gồm:</w:t>
      </w:r>
    </w:p>
    <w:p w14:paraId="30B140E3" w14:textId="62EE9E0B" w:rsidR="00826590" w:rsidRPr="00ED5E38" w:rsidRDefault="00826590" w:rsidP="00ED5E38">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(i) Tình trạng chồng chéo giữa quy định của Luật Thương mại và Luật Đầu tư về hàng hóa, dịch vụ cấm kinh doanh, hạn chế kinh doanh và kinh doanh có điều kiện</w:t>
      </w:r>
      <w:r w:rsidR="00532492" w:rsidRPr="00ED5E38">
        <w:rPr>
          <w:noProof/>
          <w:color w:val="000000" w:themeColor="text1"/>
          <w:sz w:val="26"/>
          <w:szCs w:val="26"/>
          <w:lang w:val="vi-VN"/>
        </w:rPr>
        <w:t>: thực tiễn hệ thống pháp luật điều chỉnh hoạt động đầu tư, kinh doanh thời gian qua đã được sửa đổi theo hướng thống nhất đầu mối tại Luật Đầu tư về danh mục ngành, nghề cấm đầu tư kinh doanh và đầu tư kinh doanh có điều kiện. Tuy nhiên, Luật Thương mại và các văn bản hướng dẫn vẫn duy trì các quy định về hàng hóa, dịch vụ cấm kinh doanh, hạn chế kinh doanh và kinh doanh có điều kiện, dẫn đến tình trạng giao thoa, trùng lặp về phạm vi điều chỉnh, tiêu chí quản lý và thẩm quyền quy định.</w:t>
      </w:r>
      <w:r w:rsidR="000654F9" w:rsidRPr="00ED5E38">
        <w:rPr>
          <w:noProof/>
          <w:color w:val="000000" w:themeColor="text1"/>
          <w:sz w:val="26"/>
          <w:szCs w:val="26"/>
          <w:lang w:val="vi-VN"/>
        </w:rPr>
        <w:t xml:space="preserve"> Theo Báo cáo rà soát chồng chéo pháp luật về đầu tư kinh doanh</w:t>
      </w:r>
      <w:r w:rsidR="0001295D" w:rsidRPr="00ED5E38">
        <w:rPr>
          <w:noProof/>
          <w:color w:val="000000" w:themeColor="text1"/>
          <w:sz w:val="26"/>
          <w:szCs w:val="26"/>
          <w:lang w:val="vi-VN"/>
        </w:rPr>
        <w:t xml:space="preserve"> của VCCI đã đưa ra đánh giá, rà soát về việc không thống nhất giữa các Danh mục liên quan đến điều kiện kinh doanh quy định trong Luật Thương mại và Luật Đầu tư.</w:t>
      </w:r>
      <w:r w:rsidR="00532492" w:rsidRPr="00ED5E38">
        <w:rPr>
          <w:noProof/>
          <w:color w:val="000000" w:themeColor="text1"/>
          <w:sz w:val="26"/>
          <w:szCs w:val="26"/>
          <w:lang w:val="vi-VN"/>
        </w:rPr>
        <w:t>Việc tồn tại song song hai hệ thống danh mục và cơ chế quản lý khác nhau không chỉ gây khó khăn trong áp dụng pháp luật, mà còn làm giảm tính minh bạch, thống nhất của hệ thống pháp luật về kinh doanh, phát sinh chi phí tuân thủ cho doanh nghiệp và cơ quan quản lý.</w:t>
      </w:r>
      <w:r w:rsidR="0001295D" w:rsidRPr="00ED5E38">
        <w:rPr>
          <w:noProof/>
          <w:color w:val="000000" w:themeColor="text1"/>
          <w:sz w:val="26"/>
          <w:szCs w:val="26"/>
          <w:lang w:val="vi-VN"/>
        </w:rPr>
        <w:t xml:space="preserve"> </w:t>
      </w:r>
      <w:r w:rsidR="00532492" w:rsidRPr="00ED5E38">
        <w:rPr>
          <w:noProof/>
          <w:color w:val="000000" w:themeColor="text1"/>
          <w:sz w:val="26"/>
          <w:szCs w:val="26"/>
          <w:lang w:val="vi-VN"/>
        </w:rPr>
        <w:t>Do đó, yêu cầu rà soát, xử lý chồng chéo, bảo đảm nguyên tắc một luật điều chỉnh thống nhất về điều kiện đầu tư, kinh doanh là cần thiết trong quá trình hoàn thiện Luật Thương mại.</w:t>
      </w:r>
    </w:p>
    <w:p w14:paraId="1B130E46" w14:textId="69711278" w:rsidR="00826590" w:rsidRPr="00ED5E38" w:rsidRDefault="00826590" w:rsidP="00ED5E38">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(ii) Quy định về điều kiện kinh doanh dịch vụ giám định thương mại chưa thống nhất với Luật Đầu tư năm 2025, trong khi ngành nghề kinh doanh giám định thương mại đã được bãi bỏ khỏi Danh mục ngành, nghề đầu tư kinh doanh có điều kiện</w:t>
      </w:r>
      <w:r w:rsidR="00AE09E6" w:rsidRPr="00ED5E38">
        <w:rPr>
          <w:noProof/>
          <w:color w:val="000000" w:themeColor="text1"/>
          <w:sz w:val="26"/>
          <w:szCs w:val="26"/>
          <w:lang w:val="vi-VN"/>
        </w:rPr>
        <w:t xml:space="preserve"> được quy định tai Phụ lục IV Luật Đầu tư</w:t>
      </w:r>
      <w:r w:rsidRPr="00ED5E38">
        <w:rPr>
          <w:noProof/>
          <w:color w:val="000000" w:themeColor="text1"/>
          <w:sz w:val="26"/>
          <w:szCs w:val="26"/>
          <w:lang w:val="vi-VN"/>
        </w:rPr>
        <w:t>;</w:t>
      </w:r>
    </w:p>
    <w:p w14:paraId="451743AF" w14:textId="7731E5A5" w:rsidR="00826590" w:rsidRPr="00ED5E38" w:rsidRDefault="00826590" w:rsidP="00ED5E38">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(iii) Các quy định liên quan đến độc quyền nhà nước</w:t>
      </w:r>
      <w:r w:rsidR="006B670D" w:rsidRPr="00ED5E38">
        <w:rPr>
          <w:noProof/>
          <w:color w:val="000000" w:themeColor="text1"/>
          <w:sz w:val="26"/>
          <w:szCs w:val="26"/>
          <w:lang w:val="vi-VN"/>
        </w:rPr>
        <w:t>: Trong thời gian qua, chủ trương của Đảng và Nhà nước là tiếp tục hoàn thiện thể chế kinh tế thị trường định hướng xã hội chủ nghĩa, bảo đảm môi trường cạnh tranh bình đẳng, minh bạch. Tuy nhiên, các quy định liên quan đến độc quyền nhà nước hiện còn phân tán ở nhiều văn bản khác nhau, trong đó có Luật Thương mại và các nghị định hướng dẫn. Bên cạnh đó, bối cảnh hội nhập kinh tế quốc tế sâu rộng, yêu cầu minh bạch hóa. Do đó, việc sửa đổi, hoàn thiện các quy định về độc quyền nhà nước trong Luật Thương mại là cần thiết nhằm bảo đảm tính minh bạch, thống nhất của hệ thống pháp luật và phù hợp với yêu cầu phát triển kinh tế thị trường hiện nay.</w:t>
      </w:r>
    </w:p>
    <w:p w14:paraId="1DC41E5A" w14:textId="57AC6741" w:rsidR="007A7754" w:rsidRPr="00ED5E38" w:rsidRDefault="00826590"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(iv) Một số quy định về hợp đồng và giải quyết tranh chấp còn chồng chéo với quy định của Bộ luật Dân sự</w:t>
      </w:r>
      <w:r w:rsidR="006B670D" w:rsidRPr="00ED5E38">
        <w:rPr>
          <w:noProof/>
          <w:color w:val="000000" w:themeColor="text1"/>
          <w:sz w:val="26"/>
          <w:szCs w:val="26"/>
          <w:lang w:val="vi-VN"/>
        </w:rPr>
        <w:t xml:space="preserve">.  Thực tiễn áp dụng pháp luật đang ghi nhận rất nhiều tiếng nói quan ngại từ giới chuyên gia và cộng đồng doanh nghiệp về sự xung đột giữa Luật Thương mại (LTM) và Bộ luật Dân sự (BLDS). </w:t>
      </w:r>
      <w:r w:rsidR="006B670D" w:rsidRPr="00ED5E38">
        <w:rPr>
          <w:b/>
          <w:bCs/>
          <w:noProof/>
          <w:color w:val="000000" w:themeColor="text1"/>
          <w:sz w:val="26"/>
          <w:szCs w:val="26"/>
          <w:lang w:val="vi-VN"/>
        </w:rPr>
        <w:t>Liên đoàn Thương mại và Công nghiệp Việt Nam (VCCI)</w:t>
      </w:r>
      <w:r w:rsidR="006B670D" w:rsidRPr="00ED5E38">
        <w:rPr>
          <w:noProof/>
          <w:color w:val="000000" w:themeColor="text1"/>
          <w:sz w:val="26"/>
          <w:szCs w:val="26"/>
          <w:lang w:val="vi-VN"/>
        </w:rPr>
        <w:t xml:space="preserve"> đã nhiều lần phản ánh rằng việc tồn tại hai hệ thống quy định </w:t>
      </w:r>
      <w:r w:rsidR="006B670D" w:rsidRPr="00ED5E38">
        <w:rPr>
          <w:noProof/>
          <w:color w:val="000000" w:themeColor="text1"/>
          <w:sz w:val="26"/>
          <w:szCs w:val="26"/>
          <w:lang w:val="vi-VN"/>
        </w:rPr>
        <w:lastRenderedPageBreak/>
        <w:t xml:space="preserve">song song về hợp đồng đang gây ra "chi phí tuân thủ lớn" cho doanh nghiệp. Dưới góc độ thực thi, nhiều </w:t>
      </w:r>
      <w:r w:rsidR="006B670D" w:rsidRPr="00ED5E38">
        <w:rPr>
          <w:b/>
          <w:bCs/>
          <w:noProof/>
          <w:color w:val="000000" w:themeColor="text1"/>
          <w:sz w:val="26"/>
          <w:szCs w:val="26"/>
          <w:lang w:val="vi-VN"/>
        </w:rPr>
        <w:t>Luật sư</w:t>
      </w:r>
      <w:r w:rsidR="006B670D" w:rsidRPr="00ED5E38">
        <w:rPr>
          <w:noProof/>
          <w:color w:val="000000" w:themeColor="text1"/>
          <w:sz w:val="26"/>
          <w:szCs w:val="26"/>
          <w:lang w:val="vi-VN"/>
        </w:rPr>
        <w:t xml:space="preserve"> cũng lên tiếng về sự chồng chéo giữa các quy định. Do đó, yêu cầu </w:t>
      </w:r>
      <w:r w:rsidR="006B670D" w:rsidRPr="00ED5E38">
        <w:rPr>
          <w:b/>
          <w:bCs/>
          <w:noProof/>
          <w:color w:val="000000" w:themeColor="text1"/>
          <w:sz w:val="26"/>
          <w:szCs w:val="26"/>
          <w:lang w:val="vi-VN"/>
        </w:rPr>
        <w:t>sửa đổi Luật Thương mại</w:t>
      </w:r>
      <w:r w:rsidR="006B670D" w:rsidRPr="00ED5E38">
        <w:rPr>
          <w:noProof/>
          <w:color w:val="000000" w:themeColor="text1"/>
          <w:sz w:val="26"/>
          <w:szCs w:val="26"/>
          <w:lang w:val="vi-VN"/>
        </w:rPr>
        <w:t xml:space="preserve"> theo hướng tương thích với BLDS 2015 và thực tiễn thị trường đang trở nên cấp thiết hơn bao giờ hết để tạo ra một hành lang pháp lý minh bạch và đồng bộ.</w:t>
      </w:r>
    </w:p>
    <w:p w14:paraId="074E168E" w14:textId="6056A2DD" w:rsidR="00826590" w:rsidRPr="00ED5E38" w:rsidRDefault="00826590" w:rsidP="006400D7">
      <w:pPr>
        <w:pStyle w:val="Heading1"/>
      </w:pPr>
      <w:r w:rsidRPr="00ED5E38">
        <w:t>2.1.2. Tháo gỡ khó khăn, vướng mắc các quy định của Luật Quản lý ngoại thương</w:t>
      </w:r>
    </w:p>
    <w:p w14:paraId="0BB1C45F" w14:textId="69B267C5" w:rsidR="0019473A" w:rsidRPr="00ED5E38" w:rsidRDefault="00EC01A0" w:rsidP="00ED5E38">
      <w:pPr>
        <w:pStyle w:val="NormalWeb"/>
        <w:spacing w:before="120" w:beforeAutospacing="0" w:after="120" w:afterAutospacing="0" w:line="340" w:lineRule="exact"/>
        <w:ind w:firstLine="720"/>
        <w:jc w:val="both"/>
        <w:outlineLvl w:val="2"/>
        <w:rPr>
          <w:b/>
          <w:i/>
          <w:iCs/>
          <w:noProof/>
          <w:color w:val="000000" w:themeColor="text1"/>
          <w:sz w:val="26"/>
          <w:szCs w:val="26"/>
          <w:lang w:val="vi-VN"/>
        </w:rPr>
      </w:pPr>
      <w:r w:rsidRPr="00ED5E38">
        <w:rPr>
          <w:b/>
          <w:i/>
          <w:iCs/>
          <w:noProof/>
          <w:color w:val="000000" w:themeColor="text1"/>
          <w:sz w:val="26"/>
          <w:szCs w:val="26"/>
          <w:lang w:val="vi-VN"/>
        </w:rPr>
        <w:t xml:space="preserve">a) </w:t>
      </w:r>
      <w:r w:rsidR="0019473A" w:rsidRPr="00ED5E38">
        <w:rPr>
          <w:b/>
          <w:i/>
          <w:iCs/>
          <w:noProof/>
          <w:color w:val="000000" w:themeColor="text1"/>
          <w:sz w:val="26"/>
          <w:szCs w:val="26"/>
          <w:lang w:val="vi-VN"/>
        </w:rPr>
        <w:t>Bối cảnh quốc tế</w:t>
      </w:r>
    </w:p>
    <w:p w14:paraId="3DC73200" w14:textId="77777777" w:rsidR="0019473A" w:rsidRPr="00ED5E38" w:rsidRDefault="0019473A" w:rsidP="00ED5E38">
      <w:pPr>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t>Luật Quản lý ngoại thương được Quốc hội thông qua năm 2017 và có hiệu lực và ngày 01/01/2018 trở thành văn bản cấp luật đầu tiên điều chỉnh hoạt động xuất nhập khẩu, đã tạo khung pháp lý rõ ràng cho hoạt động ngoại thương của Việt Nam - điều rất quan trọng trong bối cảnh hội nhập sâu rộng, tham gia nhiều hiệp định thương mại, gia tăng xuất nhập khẩu. Luật Quản lý ngoại thương có tính định hướng rõ ràng, phù hợp với quan điểm của Đảng, Nhà nước, ổn định, minh bạch, thống nhất, đáp ứng yêu cầu hội nhập kinh tế quốc tế là cần thiết. Đồng thời, đảm bảo hoạt động quản lý nhà nước về ngoại thương thuận lợi, hiệu quả, đáp ứng yêu cầu hội nhập quốc tế. Tuy nhiên, t</w:t>
      </w:r>
      <w:r w:rsidRPr="00ED5E38">
        <w:rPr>
          <w:noProof/>
          <w:color w:val="000000" w:themeColor="text1"/>
          <w:sz w:val="26"/>
          <w:szCs w:val="26"/>
          <w:lang w:val="vi-VN"/>
        </w:rPr>
        <w:t>rong bối cảnh hiện nay khi các nền kinh tế lớn tăng cường các biện pháp bảo hộ thương mại trong nước, các doanh nghiệp Việt Nam cần phải phản ứng nhanh hơn với những thay đổi chính sách thương mại. Xu hướng thương mại xanh và phát triển bền vững đòi hỏi truy xuất nguồn gốc và minh bạch hóa trong các chuỗi cung ứng.</w:t>
      </w:r>
    </w:p>
    <w:p w14:paraId="1DD5FA67" w14:textId="77777777" w:rsidR="0019473A" w:rsidRPr="00ED5E38" w:rsidRDefault="0019473A"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Trong bối cảnh tình hình hội nhập quốc tế, biến động thương mại quốc tế (thương chiến, bảo hộ, thay đổi chính sách thuế — đặc biệt từ các thị trường lớn như Mỹ, EU) và song song với việc Việt Nam đã tham gia ký kết và gia nhập 17 FTA, các nội dung cam kết cũng cần được rà soát và nội luật hóa tại các văn bản quy phạm pháp luật trong nước.</w:t>
      </w:r>
    </w:p>
    <w:p w14:paraId="34F3F113" w14:textId="77777777" w:rsidR="0019473A" w:rsidRPr="00ED5E38" w:rsidRDefault="0019473A"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Với bối cảnh quốc tế nêu trên, đòi hỏi hệ thống pháp luật quản lý ngoại thương phải linh hoạt, phù hợp với cam kết quốc tế và yêu cầu cải cách thể chế.</w:t>
      </w:r>
    </w:p>
    <w:p w14:paraId="0D742D76" w14:textId="25C13A2D" w:rsidR="0019473A" w:rsidRPr="00ED5E38" w:rsidRDefault="007A7754" w:rsidP="00ED5E38">
      <w:pPr>
        <w:pStyle w:val="Heading3"/>
        <w:ind w:firstLine="720"/>
        <w:rPr>
          <w:rFonts w:cs="Times New Roman"/>
          <w:b w:val="0"/>
          <w:bCs w:val="0"/>
          <w:iCs/>
          <w:noProof/>
          <w:color w:val="000000" w:themeColor="text1"/>
          <w:lang w:val="vi-VN"/>
        </w:rPr>
      </w:pPr>
      <w:r w:rsidRPr="00ED5E38">
        <w:rPr>
          <w:rFonts w:cs="Times New Roman"/>
          <w:iCs/>
          <w:noProof/>
          <w:color w:val="000000" w:themeColor="text1"/>
          <w:lang w:val="vi-VN"/>
        </w:rPr>
        <w:t xml:space="preserve">b) </w:t>
      </w:r>
      <w:r w:rsidR="0019473A" w:rsidRPr="00ED5E38">
        <w:rPr>
          <w:rFonts w:cs="Times New Roman"/>
          <w:iCs/>
          <w:noProof/>
          <w:color w:val="000000" w:themeColor="text1"/>
          <w:lang w:val="vi-VN"/>
        </w:rPr>
        <w:t>Bối cảnh trong nước</w:t>
      </w:r>
    </w:p>
    <w:p w14:paraId="3D00CD40" w14:textId="77777777" w:rsidR="0019473A" w:rsidRPr="00ED5E38" w:rsidRDefault="0019473A"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 xml:space="preserve">- Kể từ khi Luật Quản lý ngoại thương được ban hành, trong giai đoạn từ 2018-2025, Đảng, Nhà nước đã ban hành rất nhiều chủ trương, quan điểm lớn liên quan đến hoạt động ngoại thương, như: Văn kiện Đại hội XIII của Đảng (2021); Nghị quyết số 59-NQ/TW (2025). Đặc biệt, ngày 30/4/2025, Bộ Chính trị ban hành Nghị quyết số 66-NQ/TW về đổi mới công tác xây dựng và thi hành pháp luật đáp ứng với yêu cầu phát triển đất nước trong kỷ nguyên mới. Theo đó, một trong những quan điểm chỉ đạo là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sự phát triển, tạo dư địa thúc đẩy tăng trưởng kinh tế “hai con số”. </w:t>
      </w:r>
    </w:p>
    <w:p w14:paraId="62CEF1BB" w14:textId="77777777" w:rsidR="0019473A" w:rsidRPr="00ED5E38" w:rsidRDefault="0019473A"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lastRenderedPageBreak/>
        <w:t>Trong Nghị quyết số 59-NQ/TW ngày 24/01/2025 của Bộ Chính trị về hội nhập quốc tế trong tình hình mới, một nhóm giải pháp được đưa ra là Nâng cao năng lực thực thi các cam kết, thỏa thuận quốc tế gắn với tăng cường công tác kiểm tra, giám sát thực thi và đẩy mạnh hoàn thiện thể chế, chính sách, pháp luật trong nước.</w:t>
      </w:r>
    </w:p>
    <w:p w14:paraId="381C78D6" w14:textId="77777777" w:rsidR="0019473A" w:rsidRPr="00ED5E38" w:rsidRDefault="0019473A" w:rsidP="00ED5E38">
      <w:pPr>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t xml:space="preserve">- Thực tiễn </w:t>
      </w:r>
      <w:r w:rsidRPr="00ED5E38">
        <w:rPr>
          <w:noProof/>
          <w:color w:val="000000" w:themeColor="text1"/>
          <w:sz w:val="26"/>
          <w:szCs w:val="26"/>
          <w:lang w:val="vi-VN"/>
        </w:rPr>
        <w:t>triển khai thi hành Luật Quản lý ngoại thương, cũng đã phát sinh một số khó khăn, vướng mắc như sau:</w:t>
      </w:r>
    </w:p>
    <w:p w14:paraId="375484C8"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noProof/>
          <w:color w:val="000000" w:themeColor="text1"/>
          <w:sz w:val="26"/>
          <w:szCs w:val="26"/>
          <w:lang w:val="vi-VN" w:eastAsia="en-GB"/>
        </w:rPr>
        <w:t>(i) T</w:t>
      </w:r>
      <w:r w:rsidRPr="00ED5E38">
        <w:rPr>
          <w:bCs/>
          <w:iCs/>
          <w:noProof/>
          <w:color w:val="000000" w:themeColor="text1"/>
          <w:sz w:val="26"/>
          <w:szCs w:val="26"/>
          <w:lang w:val="vi-VN"/>
        </w:rPr>
        <w:t xml:space="preserve">rong quá trình thực thi Luật Quản lý ngoại thương và nghị định số 69/2018/NĐ-CP quy định chi tiết một số điều và biện pháp thi hành Luật Quản lý ngoại thương, Bộ Công Thương đã ghi nhận một số vướng mắc của doanh nghiệp khi nhập khẩu trở lại hàng hóa đã xuất khẩu. Theo đó, một số doanh nghiệp Việt Nam có nhu cầu nhập khẩu, thu hồi sản phẩm, hàng hóa thuộc danh mục hàng hóa cấm nhập khẩu do chính doanh nghiệp sản xuất, xuất khẩu để hoàn thiện và tiếp tục xuất khẩu sang thị trường nước khác. Ví dụ hàng hóa là phương tiện tay lái bên phải do doanh nghiệp sản xuất, xuất khẩu theo hợp đồng ký với đối tác nước ngoài, không nhập khẩu trở lại Việt Nam do đây là hàng cấm nhập khẩu; hoặc trong trường hợp doanh nghiệp phải tái nhập khẩu hàng hóa do doanh nghiệp đã xuất khẩu nhưng bị trả lại hoặc không bán được tại thị trường nước ngoài. </w:t>
      </w:r>
    </w:p>
    <w:p w14:paraId="4076BABB"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t>Qua rà soát, h</w:t>
      </w:r>
      <w:r w:rsidRPr="00ED5E38">
        <w:rPr>
          <w:noProof/>
          <w:color w:val="000000" w:themeColor="text1"/>
          <w:sz w:val="26"/>
          <w:szCs w:val="26"/>
          <w:lang w:val="vi-VN"/>
        </w:rPr>
        <w:t>iện nay, Luật Quản lý ngoại thương chưa có quy định về nội dung doanh nghiệp được nhập khẩu lại hàng hóa  do chính doanh nghiệp đã xuất khẩu về để sửa chữa, bảo hành hoặc mục đích khác sau đó xuất khẩu sang thị trường nước khác hoặc trả lại cho khách hàng. Đồng thời, Luật cũng không quy định thẩm quyền quyết định việc áp dụng hoặc không áp dụng các biện pháp quản lý ngoại thương cho Chính phủ (Chỉ riêng đối với quản lý hàng hóa trong khu vực hải quan riêng, Luật quy định trực tiếp về việc áp dụng biện pháp quản lý ngoại thương). Do đó, để tháo gỡ khó khăn, vướng mắc cho doanh nghiệp, đồng thời, làm rõ việc áp dụng chính sách quản lý mặt hàng trong các trường hợp này, Bộ Công Thương đề xuất sửa đổi Điều 10 Luật Quản lý ngoại thương theo hướng bổ sung trường hợp ngoại lệ cho phép nhập khẩu hàng hóa thuộc danh mục hàng hóa cấm nhập khẩu.</w:t>
      </w:r>
    </w:p>
    <w:p w14:paraId="25E67C1D"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(ii) Cần hoàn thiện các nội dung về cơ chế tự chứng nhận xuất xứ hàng hóa xuất khẩu, nhập khẩu</w:t>
      </w:r>
    </w:p>
    <w:p w14:paraId="163438C2"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 xml:space="preserve">- Hiện nay, chưa có </w:t>
      </w:r>
      <w:r w:rsidRPr="00ED5E38">
        <w:rPr>
          <w:noProof/>
          <w:color w:val="000000" w:themeColor="text1"/>
          <w:sz w:val="26"/>
          <w:szCs w:val="26"/>
          <w:lang w:val="vi-VN"/>
        </w:rPr>
        <w:t>quy định về các tiêu chí cho cơ quan, tổ chức cấp Giấy chứng nhận xuất xứ hàng hóa và Văn bản chấp thuận cho thương nhân tự chứng nhận xuất xứ hàng hóa xuất khẩu; Bổ sung nội dung phân quyền và giao Bộ Tài chính quy định về cơ chế nhà nhập khẩu đủ điều kiện tự chứng nhận xuất xứ hàng hóa nhập khẩu. Cụ thể:</w:t>
      </w:r>
    </w:p>
    <w:p w14:paraId="6C72243E"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t>T</w:t>
      </w:r>
      <w:r w:rsidRPr="00ED5E38">
        <w:rPr>
          <w:noProof/>
          <w:color w:val="000000" w:themeColor="text1"/>
          <w:sz w:val="26"/>
          <w:szCs w:val="26"/>
          <w:lang w:val="vi-VN"/>
        </w:rPr>
        <w:t xml:space="preserve">hẩm quyền cấp Giấy chứng nhận xuất xứ hàng hóa và Văn bản chấp thuận cho thương nhân tự chứng nhận xuất xứ hàng hóa xuất khẩu tại Điều 34 Luật Quản lý ngoại thương được phân quyền cho Bộ trưởng Bộ Công Thương và Ủy ban nhân dân cấp tỉnh cùng thực hiện (theo Nghị định số 146/2025/NĐ-CP). Do đó, việc thể chế hóa nội dung này tại Luật là phù hợp thẩm quyền. </w:t>
      </w:r>
    </w:p>
    <w:p w14:paraId="71E56072"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Bộ Công Thương là cơ quan quản lý nhà nước về xuất xứ hàng hóa (điểm b khoản </w:t>
      </w:r>
      <w:r w:rsidRPr="00ED5E38">
        <w:rPr>
          <w:noProof/>
          <w:color w:val="000000" w:themeColor="text1"/>
          <w:sz w:val="26"/>
          <w:szCs w:val="26"/>
          <w:lang w:val="vi-VN"/>
        </w:rPr>
        <w:lastRenderedPageBreak/>
        <w:t>16 Điều 2 Nghị định số 40/2025/NĐ-CP ngày 26/02/2025 của Chính phủ quy định chức năng, nhiệm vụ, quyền hạn và cơ cấu tổ chức của Bộ Công Thương), tổ chức việc thực hiện cấp C/O và xây dựng, trình cấp có thẩm quyển ban hành hoặc ban hành theo thẩm quyền các văn bản quy phạm pháp luật về xuất xứ hàng hóa (khoản 1, khoản 2 Điều 31 Nghị định số 31/2018/NĐ-CP quy định chi tiết Luật Quản lý ngoại thương về xuất xứ hàng hóa).</w:t>
      </w:r>
    </w:p>
    <w:p w14:paraId="07B1F46C"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Văn bản có quy định về điều kiện cấp C/O trước kia có liên quan đến quyền hạn, nhiệm vụ của Bộ Công Thương: </w:t>
      </w:r>
    </w:p>
    <w:p w14:paraId="50FA8237"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Fonts w:eastAsia="Calibri"/>
          <w:noProof/>
          <w:color w:val="000000" w:themeColor="text1"/>
          <w:sz w:val="26"/>
          <w:szCs w:val="26"/>
          <w:lang w:val="vi-VN"/>
        </w:rPr>
      </w:pPr>
      <w:r w:rsidRPr="00ED5E38">
        <w:rPr>
          <w:rFonts w:eastAsia="Calibri"/>
          <w:noProof/>
          <w:color w:val="000000" w:themeColor="text1"/>
          <w:sz w:val="26"/>
          <w:szCs w:val="26"/>
          <w:lang w:val="vi-VN"/>
        </w:rPr>
        <w:t>+ Khoản 2 Điều 57 Nghị định số 35/2022/NĐ-CP ngày 28/05/2022 của Chính phủ quy định về quản lý khu công nghiệp và khu kinh tế: “</w:t>
      </w:r>
      <w:r w:rsidRPr="00ED5E38">
        <w:rPr>
          <w:rFonts w:eastAsia="Calibri"/>
          <w:i/>
          <w:noProof/>
          <w:color w:val="000000" w:themeColor="text1"/>
          <w:sz w:val="26"/>
          <w:szCs w:val="26"/>
          <w:lang w:val="vi-VN"/>
        </w:rPr>
        <w:t xml:space="preserve">2. Thực hiện ủy quyền cho Ban quản lý khu công nghiệp, khu kinh tế cấp Giấy chứng nhận xuất xứ hàng hoá sản xuất trong khu công nghiệp, khu kinh tế </w:t>
      </w:r>
      <w:r w:rsidRPr="00ED5E38">
        <w:rPr>
          <w:rFonts w:eastAsia="Calibri"/>
          <w:b/>
          <w:i/>
          <w:noProof/>
          <w:color w:val="000000" w:themeColor="text1"/>
          <w:sz w:val="26"/>
          <w:szCs w:val="26"/>
          <w:lang w:val="vi-VN"/>
        </w:rPr>
        <w:t>khi đáp ứng đủ điều kiện ủy quyền</w:t>
      </w:r>
      <w:r w:rsidRPr="00ED5E38">
        <w:rPr>
          <w:rFonts w:eastAsia="Calibri"/>
          <w:i/>
          <w:noProof/>
          <w:color w:val="000000" w:themeColor="text1"/>
          <w:sz w:val="26"/>
          <w:szCs w:val="26"/>
          <w:lang w:val="vi-VN"/>
        </w:rPr>
        <w:t>.</w:t>
      </w:r>
      <w:r w:rsidRPr="00ED5E38">
        <w:rPr>
          <w:rFonts w:eastAsia="Calibri"/>
          <w:noProof/>
          <w:color w:val="000000" w:themeColor="text1"/>
          <w:sz w:val="26"/>
          <w:szCs w:val="26"/>
          <w:lang w:val="vi-VN"/>
        </w:rPr>
        <w:t>”</w:t>
      </w:r>
    </w:p>
    <w:p w14:paraId="35624D8D"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Fonts w:eastAsia="Calibri"/>
          <w:noProof/>
          <w:color w:val="000000" w:themeColor="text1"/>
          <w:sz w:val="26"/>
          <w:szCs w:val="26"/>
          <w:lang w:val="vi-VN"/>
        </w:rPr>
      </w:pPr>
      <w:r w:rsidRPr="00ED5E38">
        <w:rPr>
          <w:rFonts w:eastAsia="Calibri"/>
          <w:noProof/>
          <w:color w:val="000000" w:themeColor="text1"/>
          <w:sz w:val="26"/>
          <w:szCs w:val="26"/>
          <w:lang w:val="vi-VN"/>
        </w:rPr>
        <w:t>+ Điều 3 Quyết định số 1619/QĐ-BCT ngày 12/8/2022 của Bộ trưởng Bộ Công Thương ban hành quy chế quy định nghĩa vụ, điều kiện và trách nhiệm của Ban QL khu công nghiệp, khu kinh tế được ủy quyền cấp C/O.</w:t>
      </w:r>
    </w:p>
    <w:p w14:paraId="1745DE56"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Fonts w:eastAsia="Calibri"/>
          <w:noProof/>
          <w:color w:val="000000" w:themeColor="text1"/>
          <w:sz w:val="26"/>
          <w:szCs w:val="26"/>
          <w:lang w:val="vi-VN"/>
        </w:rPr>
      </w:pPr>
      <w:r w:rsidRPr="00ED5E38">
        <w:rPr>
          <w:rFonts w:eastAsia="Calibri"/>
          <w:noProof/>
          <w:color w:val="000000" w:themeColor="text1"/>
          <w:sz w:val="26"/>
          <w:szCs w:val="26"/>
          <w:lang w:val="vi-VN"/>
        </w:rPr>
        <w:t>Một trong các nguyên tắc phân định thẩm quyền của chính quyền địa phương cần phải bảo đảm là “</w:t>
      </w:r>
      <w:r w:rsidRPr="00ED5E38">
        <w:rPr>
          <w:rFonts w:eastAsia="Calibri"/>
          <w:i/>
          <w:noProof/>
          <w:color w:val="000000" w:themeColor="text1"/>
          <w:sz w:val="26"/>
          <w:szCs w:val="26"/>
          <w:lang w:val="vi-VN"/>
        </w:rPr>
        <w:t>c) Phù hợp với đặc điểm nông thôn, đô thị, hải đảo, đơn vị hành chính - kinh tế đặc biệt và khả năng, điều kiện thực hiện nhiệm vụ, quyền hạn của chính quyền địa phương các cấp. Cơ quan, tổ chức, cá nhân được giao thực hiện nhiệm vụ, quyền hạn của cơ quan nhà nước cấp trên được bảo đảm các điều kiện cần thiết để thực hiện nhiệm vụ, quyền hạn đó</w:t>
      </w:r>
      <w:r w:rsidRPr="00ED5E38">
        <w:rPr>
          <w:rFonts w:eastAsia="Calibri"/>
          <w:noProof/>
          <w:color w:val="000000" w:themeColor="text1"/>
          <w:sz w:val="26"/>
          <w:szCs w:val="26"/>
          <w:lang w:val="vi-VN"/>
        </w:rPr>
        <w:t xml:space="preserve">.; </w:t>
      </w:r>
      <w:r w:rsidRPr="00ED5E38">
        <w:rPr>
          <w:rFonts w:eastAsia="Calibri"/>
          <w:i/>
          <w:noProof/>
          <w:color w:val="000000" w:themeColor="text1"/>
          <w:sz w:val="26"/>
          <w:szCs w:val="26"/>
          <w:lang w:val="vi-VN"/>
        </w:rPr>
        <w:t>đ) Bảo đảm tính thống nhất trong tổ chức thi hành Hiến pháp và pháp luật</w:t>
      </w:r>
      <w:r w:rsidRPr="00ED5E38">
        <w:rPr>
          <w:rFonts w:eastAsia="Calibri"/>
          <w:noProof/>
          <w:color w:val="000000" w:themeColor="text1"/>
          <w:sz w:val="26"/>
          <w:szCs w:val="26"/>
          <w:lang w:val="vi-VN"/>
        </w:rPr>
        <w:t xml:space="preserve">.” </w:t>
      </w:r>
    </w:p>
    <w:p w14:paraId="6E6F40FD"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Để tổ chức cấp Giấy chứng nhận xuất xứ hàng hóa và Văn bản chấp thuận cho thương nhân tự chứng nhận xuất xứ, cơ quan cấp phép cần đáp ứng được một số điều kiện nhất định về năng lực của cán bộ cấp, hệ thống hạ tầng kỹ thuật, tài khoản (phục vụ công tác thu phí)…trong công tác tổ chức triển khai thực hiện cấp C/O như các tổ chức cấp C/O trực thuộc Bộ Công Thương: </w:t>
      </w:r>
    </w:p>
    <w:p w14:paraId="3D1D0925"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Trong nước: đội ngũ nhân lực xét duyệt hồ sơ, cấp phép C/O với khối lượng lớn và thời gian cấp từ 2 - 8 giờ làm việc cần có kiến thức hiểu biết về xuất xứ hàng hóa để cấp phép C/O; hạ tầng số để cấp C/O toàn trình kết nối với Cổng thông tin một cửa quốc gia và thu phí C/O điện tử …</w:t>
      </w:r>
    </w:p>
    <w:p w14:paraId="1DF4A530"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Quốc tế: mẫu con dấu, chữ ký của tổ chức và người có thẩm quyền ký C/O cần được cập nhật với hải quan quốc tế theo thời hạn khi có thay đổi để C/O sau khi cấp, gửi sang/truyền dữ liệu điện tử sang nước nhập khẩu được chấp nhận.</w:t>
      </w:r>
    </w:p>
    <w:p w14:paraId="4D71E69F"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Vì vậy, để tránh gián đoạn trong công tác cấp C/O và VBCT, tạo điều kiện thuận lợi cho thương nhân, Bộ trưởng Bộ Công Thương và UBND cấp tỉnh khi thực hiện cấp C/O và cấp VBCT cần đáp ứng tiêu chí chung như nhau, bảo đảm sự thống nhất về hệ thống cơ quan có thẩm quyền chứng nhận xuất xứ hàng hóa trên cả nước và uy tín tổ chức cấp C/O của Việt Nam đối với các nước đối tác FTA. Việc tiếp cận này cũng hỗ </w:t>
      </w:r>
      <w:r w:rsidRPr="00ED5E38">
        <w:rPr>
          <w:bCs/>
          <w:noProof/>
          <w:color w:val="000000" w:themeColor="text1"/>
          <w:sz w:val="26"/>
          <w:szCs w:val="26"/>
          <w:lang w:val="vi-VN"/>
        </w:rPr>
        <w:lastRenderedPageBreak/>
        <w:t>trợ, hướng dẫn các cơ quan, tổ chức tại địa phương làm quen với nghiệp vụ chứng nhận xuất xứ, không làm gián đoạn thủ tục xuất khẩu của doanh nghiệp sau khi phân cấp, phân quyền.</w:t>
      </w:r>
    </w:p>
    <w:p w14:paraId="25A946D8"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Fonts w:eastAsia="Arial"/>
          <w:noProof/>
          <w:color w:val="000000" w:themeColor="text1"/>
          <w:sz w:val="26"/>
          <w:szCs w:val="26"/>
          <w:lang w:val="vi-VN"/>
        </w:rPr>
      </w:pPr>
      <w:r w:rsidRPr="00ED5E38">
        <w:rPr>
          <w:bCs/>
          <w:noProof/>
          <w:color w:val="000000" w:themeColor="text1"/>
          <w:sz w:val="26"/>
          <w:szCs w:val="26"/>
          <w:lang w:val="vi-VN"/>
        </w:rPr>
        <w:t xml:space="preserve">- Chưa có cơ chế chấp thuận cho nhà nhập khẩu đủ điều kiện tự chứng nhận xuất xứ: </w:t>
      </w:r>
      <w:r w:rsidRPr="00ED5E38">
        <w:rPr>
          <w:noProof/>
          <w:color w:val="000000" w:themeColor="text1"/>
          <w:sz w:val="26"/>
          <w:szCs w:val="26"/>
          <w:lang w:val="vi-VN"/>
        </w:rPr>
        <w:t>Việc thực hiện các cam kết quốc tế, đặc biệt là Hiệp định CPTPP, đòi hỏi Việt Nam phải từng bước hoàn thiện cơ chế tự chứng nhận xuất xứ đối với hàng hóa nhập khẩu. Hiện</w:t>
      </w:r>
      <w:r w:rsidRPr="00ED5E38">
        <w:rPr>
          <w:bCs/>
          <w:noProof/>
          <w:color w:val="000000" w:themeColor="text1"/>
          <w:sz w:val="26"/>
          <w:szCs w:val="26"/>
          <w:lang w:val="vi-VN"/>
        </w:rPr>
        <w:t xml:space="preserve"> nay, cơ chế nhà nhập khẩu đủ điều kiện tự chứng nhận xuất xứ được quy định tại Hiệp định CPTPP, được ký kết năm 2018 và có hiệu lực năm 2019, sau thời điểm Quốc hội ban hành Luật Quản lý ngoại thương. Về thẩm quyền áp dụng biện pháp chứng nhận xuất xứ hàng hóa, hiện Điều 34 Luật Quản lý ngoại thương chỉ quy định cơ quan có thẩm quyền cấp chứng nhận xuất xứ hàng hóa hoặc chấp thuận cho thương nhân tự chứng nhận xuất xứ đối với hàng hóa xuất khẩu, chưa quy định thẩm quyền áp dụng với hàng hóa nhập khẩu. Do đó, cơ chế này chưa được quy định tại Luật Quản lý ngoại thương. Việc quy định cơ chế nhà nhập khẩu đủ điều kiện tự chứng nhận xuất xứ được thực hiện theo điều ước quốc tế mà Việt Nam là thành viên (Hiệp định CPTPP). Đây là một xu thế tất yếu trong chuỗi thương mại toàn cầu và hội nhập nên cần thiết phải xây dựng cơ chế để điều chỉnh tại Luật Quản lý ngoại thương để phù hợp với thực tế.</w:t>
      </w:r>
    </w:p>
    <w:p w14:paraId="6A0F8137" w14:textId="77777777" w:rsidR="0019473A" w:rsidRPr="00ED5E38" w:rsidRDefault="0019473A" w:rsidP="00ED5E3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Fonts w:eastAsia="Arial"/>
          <w:noProof/>
          <w:color w:val="000000" w:themeColor="text1"/>
          <w:sz w:val="26"/>
          <w:szCs w:val="26"/>
          <w:lang w:val="vi-VN"/>
        </w:rPr>
      </w:pPr>
      <w:r w:rsidRPr="00ED5E38">
        <w:rPr>
          <w:rFonts w:eastAsia="Arial"/>
          <w:noProof/>
          <w:color w:val="000000" w:themeColor="text1"/>
          <w:sz w:val="26"/>
          <w:szCs w:val="26"/>
          <w:lang w:val="vi-VN"/>
        </w:rPr>
        <w:t xml:space="preserve">Điểm b khoản 1 Điều 32 Luật Quản lý ngoại thương có dẫn chiếu đến khoản 2 Điều 34 (Thẩm quyền áp dụng biện pháp chứng nhận xuất xứ hàng hóa). Điều 34 Luật đang được đề xuất sửa đổi bổ sung phân quyền cho UBND cấp tỉnh thực hiện và bổ sung điều khoản phân quyền và giao Bộ Tài chính quy định về cơ chế nhà nhập khẩu đủ điều kiện tự chứng nhận xuất xứ hàng hóa nhập khẩu. Do đó, để đảm bảo thống nhất, đề xuất sửa đổi bổ sung điểm b khoản 1 Điều 32 Luật này. </w:t>
      </w:r>
    </w:p>
    <w:p w14:paraId="451596DC" w14:textId="77777777" w:rsidR="008D1468" w:rsidRDefault="0019473A"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rPr>
      </w:pPr>
      <w:r w:rsidRPr="00ED5E38">
        <w:rPr>
          <w:noProof/>
          <w:color w:val="000000" w:themeColor="text1"/>
          <w:sz w:val="26"/>
          <w:szCs w:val="26"/>
          <w:lang w:val="vi-VN"/>
        </w:rPr>
        <w:t>Do đó, Bộ Công Thương đề xuất bổ sung quy định giao Bộ Công Thương quy định các tiêu chí cho cơ quan, tổ chức cấp Giấy chứng nhận xuất xứ hàng hóa và Văn bản chấp thuận cho thương nhân tự chứng nhận xuất xứ hàng hóa xuất khẩu; Bổ sung nội dung phân quyền và giao Bộ Tài chính quy định về cơ chế nhà nhập khẩu đủ điều kiện tự chứng nhận xuất xứ hàng hóa nhập khẩu; và Bổ sung cơ chế nhà nhập khẩu đủ điều kiện tự chứng nhận xuất xứ hàng hóa nhập khẩu tại Điều 34 Luật Quản lý ngoại thương.</w:t>
      </w:r>
    </w:p>
    <w:p w14:paraId="0A5207D7" w14:textId="77777777" w:rsidR="00B74600" w:rsidRDefault="0019473A"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rPr>
      </w:pPr>
      <w:r w:rsidRPr="00ED5E38">
        <w:rPr>
          <w:noProof/>
          <w:color w:val="000000" w:themeColor="text1"/>
          <w:sz w:val="26"/>
          <w:szCs w:val="26"/>
          <w:lang w:val="vi-VN" w:eastAsia="en-GB"/>
        </w:rPr>
        <w:t xml:space="preserve">(iii) Vướng mắc từ khái niệm về Chứng nhận lưu hành tự do tại khoản 1 Điều 36 Luật Quản lý ngoại thương </w:t>
      </w:r>
    </w:p>
    <w:p w14:paraId="62672442" w14:textId="77777777" w:rsidR="00B74600" w:rsidRDefault="0019473A"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rPr>
      </w:pPr>
      <w:r w:rsidRPr="00ED5E38">
        <w:rPr>
          <w:bCs/>
          <w:noProof/>
          <w:color w:val="000000" w:themeColor="text1"/>
          <w:sz w:val="26"/>
          <w:szCs w:val="26"/>
          <w:lang w:val="vi-VN"/>
        </w:rPr>
        <w:t>Khoản 1 Điều 36 Luật Quản lý ngoại thương quy định “</w:t>
      </w:r>
      <w:r w:rsidRPr="00ED5E38">
        <w:rPr>
          <w:bCs/>
          <w:i/>
          <w:noProof/>
          <w:color w:val="000000" w:themeColor="text1"/>
          <w:sz w:val="26"/>
          <w:szCs w:val="26"/>
          <w:lang w:val="vi-VN"/>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p>
    <w:p w14:paraId="3C703AF8" w14:textId="77777777" w:rsidR="00B74600" w:rsidRDefault="0019473A"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rPr>
      </w:pPr>
      <w:r w:rsidRPr="00ED5E38">
        <w:rPr>
          <w:bCs/>
          <w:noProof/>
          <w:color w:val="000000" w:themeColor="text1"/>
          <w:sz w:val="26"/>
          <w:szCs w:val="26"/>
          <w:lang w:val="vi-VN"/>
        </w:rPr>
        <w:t>Với quy định này, trong quá trình triển khai quy định về Giấy chứng nhận lưu hành tự do, liên quan đến hàng hóa xuất khẩu, Bộ Công Thương không nhận được phản ánh về khó khăn, vướng mắc liên quan đến quy định tại khoản 1, Điều 36 Luật Quản lý ngoại thương do việc cấp CFS đối với hàng xuất khẩu tại Việt Nam.</w:t>
      </w:r>
    </w:p>
    <w:p w14:paraId="4B6AF765" w14:textId="77777777" w:rsidR="00B74600" w:rsidRPr="00B74600" w:rsidRDefault="0019473A"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bCs/>
          <w:noProof/>
          <w:color w:val="000000" w:themeColor="text1"/>
          <w:sz w:val="26"/>
          <w:szCs w:val="26"/>
          <w:lang w:val="vi-VN"/>
        </w:rPr>
        <w:lastRenderedPageBreak/>
        <w:t>Đối với hàng nhập khẩu, Bộ Công Thương nhận được phản ánh của Bộ Y tế về khó khăn, vướng mắc khi thực hiện quy định tại khoản 1, Điều 36 Luật Quản lý ngoại thương. Căn cứ điểm a Khoản 4 Điều 4 Thông tư số 06/2011/TT-BYT ngày 25/01/2011 của Bộ trưởng Bộ Y tế quy định về quản lý mỹ phẩm theo đó khi thực hiện công bố sản phẩm mỹ phẩm, thương nhân phải xuất trình hồ sơ công bố sản phẩm mỹ phẩm trong đó có CFS của nước nhập khẩu. Thực tiễn cho thấy, cơ quan cấp CFS của một số nước do các Hội, Hiệp hội chuyên ngành hoặc các tổ chức được ủy quyền thực hiện (</w:t>
      </w:r>
      <w:r w:rsidRPr="00ED5E38">
        <w:rPr>
          <w:bCs/>
          <w:i/>
          <w:noProof/>
          <w:color w:val="000000" w:themeColor="text1"/>
          <w:sz w:val="26"/>
          <w:szCs w:val="26"/>
          <w:lang w:val="vi-VN"/>
        </w:rPr>
        <w:t>không phải cơ quan quản lý nhà nước</w:t>
      </w:r>
      <w:r w:rsidRPr="00ED5E38">
        <w:rPr>
          <w:bCs/>
          <w:noProof/>
          <w:color w:val="000000" w:themeColor="text1"/>
          <w:sz w:val="26"/>
          <w:szCs w:val="26"/>
          <w:lang w:val="vi-VN"/>
        </w:rPr>
        <w:t>) dẫn đến khó khăn cho thương nhân khi làm thủ tục công bố sản phẩm mỹ phẩm.</w:t>
      </w:r>
    </w:p>
    <w:p w14:paraId="5107A5E1" w14:textId="77777777" w:rsidR="00B74600" w:rsidRPr="00B74600" w:rsidRDefault="0019473A"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noProof/>
          <w:color w:val="000000" w:themeColor="text1"/>
          <w:sz w:val="26"/>
          <w:szCs w:val="26"/>
          <w:lang w:val="vi-VN"/>
        </w:rPr>
        <w:t>Việc sửa đổi nội dung tại khoản 1, Điều 36 Luật Quản lý ngoại thương theo hướng bỏ cụm từ “nhà nước” sẽ tạo thuận lợi cho thương nhân khi thực hiện các quy định quản lý chuyên ngành đối với hàng nhập khẩu.</w:t>
      </w:r>
    </w:p>
    <w:p w14:paraId="76B2D6EB" w14:textId="162CD582" w:rsidR="00826590" w:rsidRPr="00B74600" w:rsidRDefault="00826590" w:rsidP="00B74600">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iCs/>
          <w:noProof/>
          <w:color w:val="000000" w:themeColor="text1"/>
          <w:sz w:val="26"/>
          <w:szCs w:val="26"/>
          <w:lang w:val="vi-VN"/>
        </w:rPr>
      </w:pPr>
      <w:r w:rsidRPr="00ED5E38">
        <w:rPr>
          <w:noProof/>
          <w:color w:val="000000" w:themeColor="text1"/>
          <w:sz w:val="26"/>
          <w:szCs w:val="26"/>
          <w:lang w:val="vi-VN"/>
        </w:rPr>
        <w:t>Từ những yêu cầu thực tiễn nêu trên, việc nghiên cứu sửa đổi, bổ sung một số quy định của Luật Quản lý ngoại thương là cần thiết nhằm tháo gỡ khó khăn, vướng mắc cho doanh nghiệp, bảo đảm tính thống nhất, đồng bộ của hệ thống pháp luật, đồng thời đáp ứng yêu cầu hội nhập kinh tế quốc tế và nâng cao hiệu lực, hiệu quả quản lý nhà nước trong lĩnh vực ngoại thương.</w:t>
      </w:r>
    </w:p>
    <w:p w14:paraId="225D6BDB" w14:textId="20F43F0A" w:rsidR="00826590" w:rsidRPr="00ED5E38" w:rsidRDefault="00826590" w:rsidP="00B74600">
      <w:pPr>
        <w:pStyle w:val="Heading1"/>
        <w:spacing w:line="340" w:lineRule="exact"/>
      </w:pPr>
      <w:r w:rsidRPr="00ED5E38">
        <w:t>2.1.3. Tháo gỡ khó khăn, vướng mắc các quy định của Luật Cạnh tranh</w:t>
      </w:r>
    </w:p>
    <w:p w14:paraId="22AC62D0" w14:textId="1BA8A5EE" w:rsidR="0007395F" w:rsidRPr="00ED5E38" w:rsidRDefault="0007395F" w:rsidP="0027142B">
      <w:pPr>
        <w:pStyle w:val="Heading2"/>
      </w:pPr>
      <w:r w:rsidRPr="00ED5E38">
        <w:t>2.1.3.1. Vấn đề 1: Hoàn thiện quy định về hành vi bị cấm và tiêu chí xác định thị trường liên quan, thị phần, sức mạnh thị trường đáng kể của doanh nghiệp trên thị trường liên quan</w:t>
      </w:r>
    </w:p>
    <w:p w14:paraId="45BEECE7" w14:textId="58327481" w:rsidR="0007395F" w:rsidRPr="00ED5E38" w:rsidRDefault="0007395F" w:rsidP="00ED5E38">
      <w:pPr>
        <w:spacing w:before="120" w:after="120" w:line="340" w:lineRule="exact"/>
        <w:ind w:firstLine="720"/>
        <w:jc w:val="both"/>
        <w:outlineLvl w:val="2"/>
        <w:rPr>
          <w:i/>
          <w:iCs/>
          <w:noProof/>
          <w:color w:val="000000" w:themeColor="text1"/>
          <w:sz w:val="26"/>
          <w:szCs w:val="26"/>
          <w:lang w:val="vi-VN"/>
        </w:rPr>
      </w:pPr>
      <w:r w:rsidRPr="00ED5E38">
        <w:rPr>
          <w:i/>
          <w:iCs/>
          <w:noProof/>
          <w:color w:val="000000" w:themeColor="text1"/>
          <w:sz w:val="26"/>
          <w:szCs w:val="26"/>
          <w:lang w:val="vi-VN"/>
        </w:rPr>
        <w:t>a) Về hành vi giúp sức của tổ chức, cá nhân để doanh nghiệp thực hiện hành vi hạn chế cạnh tranh, cạnh tranh không lành mạnh</w:t>
      </w:r>
    </w:p>
    <w:p w14:paraId="4893333B"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Ngoài hành vi hạn chế cạnh tranh, cạnh tranh không lành mạnh do tổ chức, cá nhân kinh doanh (gọi chung là doanh nghiệp) thực hiện, Luật Cạnh tranh còn quy định cấm đối với các hành vi có liên quan đến cạnh tranh do các chủ thể như cơ quan nhà nước, tổ chức, cá nhân tuy không trực tiếp thực hiện hành vi hạn chế cạnh tranh, cạnh tranh không lành mạnh, nhưng có tác động vào quá trình cạnh tranh giữa các doanh nghiệp, gây cản trở cạnh tranh trên thị trường hoặc cung cấp thông tin, vận động, kêu gọi, ép buộc hoặc tổ chức để doanh nghiệp thực hiện hành vi hạn chế cạnh tranh, cạnh tranh không lành mạnh. </w:t>
      </w:r>
    </w:p>
    <w:p w14:paraId="52214C0E"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Khoản 2 Điều 8 Luật Cạnh tranh quy định như sau: </w:t>
      </w:r>
    </w:p>
    <w:p w14:paraId="626F84F5"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“2. Tổ chức, cá nhân cung cấp thông tin, vận động, kêu gọi, ép buộc hoặc tổ chức để doanh nghiệp thực hiện hành vi hạn chế cạnh tranh, cạnh tranh không lành mạnh.”</w:t>
      </w:r>
    </w:p>
    <w:p w14:paraId="6B4C9CF8"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Những biểu hiện của hành vi gồm “cung cấp thông tin, vận động, kêu gọi, ép buộc hoặc tổ chức” được quy định tại khoản 2 Điều 8 Luật Cạnh tranh hiện hành phù hợp để áp dụng đối với các trường hợp chủ thể trung gian truyền thống như hiệp hội ngành nghề hay các tổ chức thu thập, cung cấp dữ liệu thị trường… vận động, kêu gọi, </w:t>
      </w:r>
      <w:r w:rsidRPr="00ED5E38">
        <w:rPr>
          <w:noProof/>
          <w:color w:val="000000" w:themeColor="text1"/>
          <w:sz w:val="26"/>
          <w:szCs w:val="26"/>
          <w:lang w:val="vi-VN"/>
        </w:rPr>
        <w:lastRenderedPageBreak/>
        <w:t xml:space="preserve">ép buộc hoặc tổ chức cho các doanh nghiệp hội viên tham gia, thực hiện thỏa thuận hạn chế cạnh tranh hay cung cấp các thông tin, dữ liệu nhạy cảm về giá cả, chiết khấu, sản lượng, khu vực, khách hàng tiêu thụ sản phẩm,… làm cơ sở, tín hiệu để các doanh nghiệp tham chiếu, ngầm thực hiện các thỏa thuận hạn chế cạnh tranh. </w:t>
      </w:r>
    </w:p>
    <w:p w14:paraId="752EBA7F"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Tuy nhiên, khoản 2 Điều 8 Luật Cạnh tranh chưa bao quát được những trường hợp chủ thể tuy không vận động, kêu gọi, ép buộc nhưng có khả năng kiểm soát, chi phối, định hướng hoặc tạo điều kiện cho doanh nghiệp khác trong cùng hệ sinh thái hoặc nhóm doanh nghiệp liên kết của mình thực hiện hành vi hạn chế cạnh tranh. Trong nhiều mô hình tập đoàn, công ty mẹ-con, công ty mẹ thường không trực tiếp ký kết thỏa thuận hạn chế cạnh tranh, cũng không trực tiếp áp đặt mức giá hay điều kiện giao dịch, nhưng lại đóng vai trò thiết kế cơ chế vận hành, cung cấp nền tảng công nghệ, hệ thống phân phối, nguồn vốn, dữ liệu khách hàng hoặc các điều kiện thiết yếu khác để công ty con hoặc công ty có liên quan trong nhóm doanh nghiệp liên kết thực hiện hành vi vi phạm.</w:t>
      </w:r>
    </w:p>
    <w:p w14:paraId="1CB58343"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Xét dưới góc độ bản chất kinh tế, hành vi “giúp sức” có thể được nhận diện thông qua việc tạo ra hoặc duy trì các điều kiện vật chất, kỹ thuật, tài chính hoặc thông tin, dữ liệu làm gia tăng khả năng xảy ra hành vi hạn chế cạnh tranh, đồng thời làm suy giảm đáng kể mức độ độc lập trong quyết định kinh doanh của các doanh nghiệp tham gia thị trường. Chẳng hạn, công ty mẹ ban hành cơ chế điều phối giá bán nội bộ, kiểm soát nguồn cung nguyên liệu hoặc áp đặt chỉ tiêu kinh doanh khiến các công ty con buộc phải bán dưới giá thành toàn bộ, buộc khách hàng phải ký kết hợp đồng giao dịch độc quyền (exclusive dealing) dẫn đến loại bỏ đối thủ cạnh tranh hoặc ấn định giá bán hàng hóa, dịch vụ bất hợp gây thiệt hại cho khách hàng.</w:t>
      </w:r>
    </w:p>
    <w:p w14:paraId="7A79752E"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Trong bối cảnh các tập đoàn đa ngành và các chuỗi cung ứng khép kín ngày càng phổ biến, việc hỗ trợ lẫn nhau giữa các chủ thể trong cùng hệ sinh thái vượt quá phạm vi hỗ trợ thông thường nhằm nâng cao hiệu quả sản xuất, kinh doanh, mà hướng tới việc loại bỏ, kìm hãm hoặc làm sai lệch cạnh tranh trên thị trường thì chủ thể thực hiện việc hỗ trợ đó cần phải được xem xét, xử lý để đảm bảo tính nghiêm minh của pháp luật, ngăn ngừa các hành vi hạn chế cạnh tranh, cạnh tranh không lành mạnh được tổ chức, thực hiện một cách tinh vi, khó phát hiện.  </w:t>
      </w:r>
    </w:p>
    <w:p w14:paraId="6B8A1A22"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contextualSpacing/>
        <w:jc w:val="both"/>
        <w:rPr>
          <w:noProof/>
          <w:color w:val="000000" w:themeColor="text1"/>
          <w:sz w:val="26"/>
          <w:szCs w:val="26"/>
          <w:lang w:val="vi-VN"/>
        </w:rPr>
      </w:pPr>
      <w:r w:rsidRPr="00ED5E38">
        <w:rPr>
          <w:noProof/>
          <w:color w:val="000000" w:themeColor="text1"/>
          <w:sz w:val="26"/>
          <w:szCs w:val="26"/>
          <w:lang w:val="vi-VN"/>
        </w:rPr>
        <w:t>Do đó, cần thiết phải bổ sung hành vi “giúp sức” để doanh nghiệp thực hiện hành vi hạn chế cạnh tranh, cạnh tranh không lành mạnh tại Điều 8 Luật Cạnh tranh nhằm tránh tạo ra khoảng trống pháp lý, tránh làm giảm hiệu quả phát hiện, điều tra, xử lý toàn diện các vụ việc hạn chế cạnh tranh với hành vi đang có xu hướng diễn ra ngày càng có tổ chức và hết sức tinh vi</w:t>
      </w:r>
      <w:r w:rsidR="00ED5E38" w:rsidRPr="00ED5E38">
        <w:rPr>
          <w:noProof/>
          <w:color w:val="000000" w:themeColor="text1"/>
          <w:sz w:val="26"/>
          <w:szCs w:val="26"/>
          <w:lang w:val="vi-VN"/>
        </w:rPr>
        <w:t>.</w:t>
      </w:r>
    </w:p>
    <w:p w14:paraId="067822E4" w14:textId="08D842DF"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contextualSpacing/>
        <w:jc w:val="both"/>
        <w:rPr>
          <w:noProof/>
          <w:color w:val="000000" w:themeColor="text1"/>
          <w:sz w:val="26"/>
          <w:szCs w:val="26"/>
          <w:lang w:val="vi-VN"/>
        </w:rPr>
      </w:pPr>
      <w:r w:rsidRPr="00ED5E38">
        <w:rPr>
          <w:i/>
          <w:iCs/>
          <w:noProof/>
          <w:color w:val="000000" w:themeColor="text1"/>
          <w:sz w:val="26"/>
          <w:szCs w:val="26"/>
          <w:lang w:val="vi-VN"/>
        </w:rPr>
        <w:t>b) Về xác định thị trường liên quan, thị phần, sức mạnh thị trường đáng kể và hành vi lạm dụng vị trí thống lĩnh thị trường, lạm dụng vị trí độc quyền bị cấm</w:t>
      </w:r>
    </w:p>
    <w:p w14:paraId="49DF4305"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Về thị trường liên quan</w:t>
      </w:r>
      <w:r w:rsidRPr="00ED5E38">
        <w:rPr>
          <w:noProof/>
          <w:color w:val="000000" w:themeColor="text1"/>
          <w:sz w:val="26"/>
          <w:szCs w:val="26"/>
          <w:lang w:val="vi-VN"/>
        </w:rPr>
        <w:t xml:space="preserve">, Điều 9 Luật Cạnh tranh quy định: “thị trường liên quan được xác định trên cơ sở thị trường sản phẩm liên quan và thị trường địa lý liên quan” và trong đó: </w:t>
      </w:r>
    </w:p>
    <w:p w14:paraId="53C144B4"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 thị trường sản phẩm liên quan là thị trường của những hàng hóa, dịch vụ có thể thay thế cho nhau về đặc tính, mục đích sử dụng và giá cả; </w:t>
      </w:r>
    </w:p>
    <w:p w14:paraId="44307E7B" w14:textId="102AD019" w:rsidR="0007395F" w:rsidRPr="00ED5E38" w:rsidRDefault="00ED5E38"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lastRenderedPageBreak/>
        <w:t xml:space="preserve">- </w:t>
      </w:r>
      <w:r w:rsidR="0007395F" w:rsidRPr="00ED5E38">
        <w:rPr>
          <w:i/>
          <w:iCs/>
          <w:noProof/>
          <w:color w:val="000000" w:themeColor="text1"/>
          <w:sz w:val="26"/>
          <w:szCs w:val="26"/>
          <w:lang w:val="vi-VN"/>
        </w:rPr>
        <w:t>thị trường địa lý liên quan là khu vực địa lý cụ thể trong đó có những hàng hóa, dịch vụ được cung cấp có thể thay thế cho nhau với các điều kiện cạnh tranh tương tự và có sự khác biệt đáng kể với các khu vực địa lý lân cận.”</w:t>
      </w:r>
    </w:p>
    <w:p w14:paraId="1371121F"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Cách tiếp cận xác định thị trường liên quan theo Điều 9 Luật Cạnh tranh, dựa trên hai trụ cột là khả năng thay thế về đặc tính, mục đích sử dụng và giá cả đối với thị trường sản phẩm, cùng với điều kiện cạnh tranh tương tự trong một khu vực địa lý xác định đối với thị trường địa lý, về cơ bản được xây dựng trên giả định của các thị trường hàng hóa, dịch vụ truyền thống – nơi sản phẩm có hình thái hữu hình, chuỗi cung ứng tuyến tính và hành vi tiêu dùng tương đối ổn định. Trong bối cảnh nền tảng số, các giả định này dần trở nên không còn phù hợp. </w:t>
      </w:r>
    </w:p>
    <w:p w14:paraId="73D0F624"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nhất, nhiều dịch vụ nền tảng được cung cấp với mức giá bằng không cho một phía người dùng (zero-price market), trong khi giá trị cạnh tranh lại nằm ở dữ liệu, khả năng tiếp cận người dùng, thuật toán phân phối và hệ sinh thái dịch vụ đi kèm; do đó, tiêu chí “khả năng thay thế về giá” không phản ánh đúng mức độ ràng buộc cạnh tranh thực tế. </w:t>
      </w:r>
    </w:p>
    <w:p w14:paraId="327FBCD6" w14:textId="77777777" w:rsidR="0007395F" w:rsidRPr="00ED5E38" w:rsidRDefault="0007395F" w:rsidP="00A20AD9">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hai, nền tảng số thường vận hành theo mô hình thị trường đa diện (multi-sided market), trong đó sự thay thế không chỉ diễn ra giữa các sản phẩm cùng chức năng, mà còn phụ thuộc vào hiệu ứng mạng lưới, quy mô người dùng, khả năng tương tác chéo giữa các nhóm khách hàng và chi phí chuyển đổi. Vì vậy, việc chỉ so sánh đặc tính và mục đích sử dụng của từng dịch vụ riêng lẻ có thể dẫn đến việc xác định thị trường quá hẹp hoặc sai lệch. </w:t>
      </w:r>
    </w:p>
    <w:p w14:paraId="697C3E06" w14:textId="77777777" w:rsidR="0007395F" w:rsidRPr="00ED5E38" w:rsidRDefault="0007395F" w:rsidP="00A20AD9">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ba, tiêu chí thị trường địa lý liên quan dựa trên ranh giới lãnh thổ với “điều kiện cạnh tranh tương tự” cũng khó áp dụng khi dịch vụ số có thể cung cấp xuyên biên giới, chịu tác động đồng thời của quy định pháp lý, hạ tầng dữ liệu, chính sách nội dung, thuật toán phân phối và khả năng bản địa hóa dịch vụ. Trong nhiều trường hợp, cạnh tranh diễn ra trên phạm vi khu vực hoặc toàn cầu dù hoạt động khai thác doanh thu lại mang tính quốc gia. </w:t>
      </w:r>
    </w:p>
    <w:p w14:paraId="5E6455AD"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Ngoài ra, các nền tảng số thường hình thành hệ sinh thái tích hợp nhiều dịch vụ (tìm kiếm, thương mại điện tử, thanh toán, quảng cáo, logistics số…), khiến ranh giới giữa các “sản phẩm” trở nên mờ nhạt và khả năng thay thế mang tính động theo thời gian. </w:t>
      </w:r>
    </w:p>
    <w:p w14:paraId="4A37C475"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Do đó, nếu tiếp tục áp dụng máy móc cách tiếp cận truyền thống của Điều 9, việc xác định thị trường liên quan trong lĩnh vực nền tảng số có nguy cơ không phản ánh đúng sức mạnh thị trường và cấu trúc cạnh tranh thực tế, từ đó làm suy giảm hiệu quả phát hiện và xử lý các hành vi hạn chế cạnh tranh phát sinh từ dữ liệu, hiệu ứng mạng lưới và lợi thế hệ sinh thái.</w:t>
      </w:r>
    </w:p>
    <w:p w14:paraId="5878AAF2"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Về thị phần của doanh nghiệp trên thị trường liên quan</w:t>
      </w:r>
      <w:r w:rsidRPr="00ED5E38">
        <w:rPr>
          <w:noProof/>
          <w:color w:val="000000" w:themeColor="text1"/>
          <w:sz w:val="26"/>
          <w:szCs w:val="26"/>
          <w:lang w:val="vi-VN"/>
        </w:rPr>
        <w:t xml:space="preserve">, khoản 1 Điều 10 quy định như sau: </w:t>
      </w:r>
    </w:p>
    <w:p w14:paraId="2842FC14"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“Căn cứ vào đặc điểm, tính chất của thị trường liên quan, thị phần của doanh </w:t>
      </w:r>
      <w:r w:rsidRPr="00ED5E38">
        <w:rPr>
          <w:noProof/>
          <w:color w:val="000000" w:themeColor="text1"/>
          <w:sz w:val="26"/>
          <w:szCs w:val="26"/>
          <w:lang w:val="vi-VN"/>
        </w:rPr>
        <w:lastRenderedPageBreak/>
        <w:t>nghiệp trên thị trường liên quan được xác định theo một trong các phương pháp sau đây:</w:t>
      </w:r>
    </w:p>
    <w:p w14:paraId="2CCD4FE7"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a) Tỷ lệ phần trăm giữa doanh thu bán ra của doanh nghiệp này với tổng doanh thu bán ra của tất cả các doanh nghiệp trên thị trường liên quan theo tháng, quý, năm;</w:t>
      </w:r>
    </w:p>
    <w:p w14:paraId="5B7F1314"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b) Tỷ lệ phần trăm giữa doanh số mua vào của doanh nghiệp này với tổng doanh số mua vào của tất cả các doanh nghiệp trên thị trường liên quan theo tháng, quý, năm;</w:t>
      </w:r>
    </w:p>
    <w:p w14:paraId="350BCF04"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c) Tỷ lệ phần trăm giữa số đơn vị hàng hóa, dịch vụ bán ra của doanh nghiệp này với tổng số đơn vị hàng hóa, dịch vụ bán ra của tất cả các doanh nghiệp trên thị trường liên quan theo tháng, quý, năm;</w:t>
      </w:r>
    </w:p>
    <w:p w14:paraId="2111A3BF"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d) Tỷ lệ phần trăm giữa số đơn vị hàng hóa, dịch vụ mua vào của doanh nghiệp này với tổng số đơn vị hàng hóa, dịch vụ mua vào của tất cả các doanh nghiệp trên thị trường liên quan theo tháng, quý, năm.” </w:t>
      </w:r>
    </w:p>
    <w:p w14:paraId="3CC3A151"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Quy định về xác định thị phần tại khoản 1 Điều 10 Luật Cạnh tranh với các thước đo chủ yếu dựa trên doanh thu bán ra, doanh số mua vào hoặc số lượng đơn vị hàng hóa, dịch vụ bán ra, mua vào phản ánh cách tiếp cận truyền thống vốn phù hợp với các thị trường hữu hình, nơi giá cả, doanh thu, doanh số và sản lượng là chỉ báo trung tâm của sức mạnh thị trường. Tuy nhiên, trong bối cảnh nền tảng số, các chỉ tiêu này không còn phản ánh đầy đủ vị thế cạnh tranh thực tế. </w:t>
      </w:r>
    </w:p>
    <w:p w14:paraId="38106C7B"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nhất, nhiều nền tảng vận hành theo mô hình cung cấp dịch vụ miễn phí hoặc trợ giá chéo cho một phía người dùng, nên doanh thu phát sinh không tương xứng với mức độ chi phối thị trường; một nền tảng có thể nắm giữ phần lớn người dùng, dữ liệu và lưu lượng truy cập nhưng doanh thu trực tiếp từ dịch vụ cốt lõi lại rất thấp hoặc bằng không. </w:t>
      </w:r>
    </w:p>
    <w:p w14:paraId="691E6C2B"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hai, giá trị cạnh tranh trong môi trường số thường nằm ở quy mô người dùng, dữ liệu thu thập được, mức độ gắn kết (engagement), hiệu ứng mạng lưới và khả năng kiểm soát hạ tầng trung gian (hệ điều hành, kho ứng dụng, công cụ tìm kiếm, hệ thống quảng cáo), những yếu tố không thể đo lường bằng “số đơn vị hàng hóa, dịch vụ bán ra” theo nghĩa truyền thống. </w:t>
      </w:r>
    </w:p>
    <w:p w14:paraId="4F28A462"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ba, mô hình thị trường đa diện khiến cùng một nền tảng đồng thời cung cấp các dịch vụ khác nhau cho nhiều nhóm khách hàng, với dòng doanh thu phát sinh ở phía này nhưng sức mạnh thị trường lại thể hiện ở phía khác, do đó, việc tính thị phần dựa trên doanh thu hoặc sản lượng của một chiều giao dịch có thể dẫn đến đánh giá sai lệch mức độ tập trung. </w:t>
      </w:r>
    </w:p>
    <w:p w14:paraId="6537199E"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Ngoài ra, nhiều dịch vụ số mang tính phi vật thể, không có “đơn vị” giao dịch rõ ràng (như lượt hiển thị, dữ liệu, thuật toán đề xuất), nên nếu chỉ dựa vào các chỉ tiêu doanh thu và sản lượng, việc xác định thị phần trong lĩnh vực nền tảng số có nguy cơ không phản ánh đúng sức mạnh thị trường thực chất, đặc biệt trong những trường hợp doanh nghiệp chi phối thông qua dữ liệu, hệ sinh thái và hiệu ứng mạng lưới thay vì thông qua giá và sản lượng theo nghĩa truyền thống.</w:t>
      </w:r>
    </w:p>
    <w:p w14:paraId="0DDEB052"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Do đó, cần thiết phải bổ sung các phương pháp để xác định thị phần của doanh </w:t>
      </w:r>
      <w:r w:rsidRPr="00ED5E38">
        <w:rPr>
          <w:noProof/>
          <w:color w:val="000000" w:themeColor="text1"/>
          <w:sz w:val="26"/>
          <w:szCs w:val="26"/>
          <w:lang w:val="vi-VN"/>
        </w:rPr>
        <w:lastRenderedPageBreak/>
        <w:t xml:space="preserve">nghiệp trên thị trường liên quan trong lĩnh vực nền tảng số để đảm bảo phản ánh đúng bản chất, sức mạnh của doanh nghiệp trên thị trường đó. </w:t>
      </w:r>
    </w:p>
    <w:p w14:paraId="331EFF2C"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Về sức mạnh thị trường đáng kể</w:t>
      </w:r>
      <w:r w:rsidRPr="00ED5E38">
        <w:rPr>
          <w:noProof/>
          <w:color w:val="000000" w:themeColor="text1"/>
          <w:sz w:val="26"/>
          <w:szCs w:val="26"/>
          <w:lang w:val="vi-VN"/>
        </w:rPr>
        <w:t xml:space="preserve">, khoản 1 Điều 26 Luật Cạnh tranh quy định các yếu tố làm căn cứ để xác định sức mạnh thị trường đáng kể của doanh nghiệp, nhóm doanh nghiệp trên thị trường liên quan, trong đó bao gồm cả yếu tố đặc thù trong ngành, lĩnh vực mà doanh nghiệp đang hoạt động kinh doanh.   </w:t>
      </w:r>
    </w:p>
    <w:p w14:paraId="47301C77"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Lĩnh vực nền tảng số có những đặc thù riêng, tuy nhiên, các yếu tố đặc thù làm căn cứ để xác định sức mạnh thị trường đáng kể của doanh nghiệp kinh doanh trong lĩnh vực nền tảng số chưa được quy định rõ ràng tại pháp luật cạnh tranh hay pháp luật chuyên ngành, dẫn đến những khó khăn nhất định trong quá trình thực thi, có thể gây kéo dài thời gian xác định sức mạnh thị trường đáng kể của doanh nghiệp trong quá trình điều tra, xử lý vụ việc hạn chế cạnh tranh có liên quan đến nền tảng số. </w:t>
      </w:r>
    </w:p>
    <w:p w14:paraId="1BC0E723"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Nền tảng số có sức mạnh thị trường đáng kể về bản chất thường là những nền tảng có quy mô lớn hoặc rất lớn, được hình thành và củng cố thông qua quy mô mạng lưới người dùng, dữ liệu và mức độ phụ thuộc của các bên tham gia. Pháp luật về giao dịch điện tử hiện đã ghi nhận khái niệm nền tảng số trung gian quy mô rất lớn trên cơ sở các tiêu chí định lượng về quy mô mạng lưới người dùng và phạm vi ảnh hưởng (cụ thể, có số lượng người sử dụng trung bình theo tháng tại Việt Nam trên 10% tống dân số theo công bố chính thức gần nhất của cơ quan có thẩm quyền theo quy định tại điểm b khoản 1 Điều 18 và khoản 3 Điều 17 Nghị định số 137/2024/NĐ-CP của Chính phủ quy định về giao dịch điện tử của cơ quan nhà nước và hệ thống thông tin phục vụ giao dịch điện tử). Trên phương diện cạnh tranh, chính quy mô mạng lưới này lại là yếu tố cốt lõi tạo ra hiệu ứng mạng lưới, chi phí chuyển đổi cao và khả năng kiểm soát điểm tiếp cận thị trường, từ đó hình thành sức mạnh thị trường đáng kể của nền tảng.</w:t>
      </w:r>
    </w:p>
    <w:p w14:paraId="526FDE63"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Do đó, xét về bản chất kinh tế, quy mô người dùng không chỉ là tiêu chí quản lý trong lĩnh vực giao dịch điện tử mà còn là chỉ báo trực tiếp phản ánh vị thế cạnh tranh của nền tảng số. Việc sử dụng các chỉ số liên quan đến mạng lưới người dùng có thể phù hợp hơn để xác định thị phần và đánh giá sức mạnh thị trường trong môi trường số, nơi doanh thu hoặc sản lượng giao dịch chưa chắc phản ánh đúng mức độ chi phối thị trường. Cách tiếp cận này giúp thu hẹp khoảng cách giữa hai hệ thống pháp luật về cạnh tranh và giao dịch điện tử, đồng thời tạo cơ sở thực tiễn để nhận diện sớm những nền tảng có khả năng gây tác động đáng kể đến cấu trúc cạnh tranh, ngay cả khi các chỉ tiêu truyền thống về giá, doanh thu hay số lượng giao dịch chưa thể hiện đầy đủ vị thế thống lĩnh.</w:t>
      </w:r>
    </w:p>
    <w:p w14:paraId="28B37068"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Về hành vi lạm dụng vị trí thống lĩnh thị trường, khoản 1 Điều 27 Luật Cạnh tranh quy định cấm doanh nghiệp, nhóm doanh nghiệp có vị trí thống lĩnh thị trường thực hiện hành vi sau đây: </w:t>
      </w:r>
    </w:p>
    <w:p w14:paraId="06EC039A"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“a) Bán hàng hóa, cung ứng dịch vụ dưới giá thành toàn bộ dẫn đến hoặc có khả năng dẫn đến loại bỏ đối thủ cạnh tranh; </w:t>
      </w:r>
    </w:p>
    <w:p w14:paraId="2752D8CE"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b) Áp đặt giá mua, giá bán hàng hóa, dịch vụ bất hợp lý hoặc ấn định giá bán lại tối thiểu gây ra hoặc có khả năng gây ra thiệt hại cho khách hàng; </w:t>
      </w:r>
    </w:p>
    <w:p w14:paraId="3054109B"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lastRenderedPageBreak/>
        <w:t xml:space="preserve">c) Hạn chế sản xuất, phân phối hàng hóa, dịch vụ, giới hạn thị trường, cản trở sự phát triển kỹ thuật, công nghệ gây ra hoặc có khả năng gây ra thiệt hại cho khách hàng; </w:t>
      </w:r>
    </w:p>
    <w:p w14:paraId="240DE5DF"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d) Áp dụng điều kiện thương mại khác nhau trong các giao dịch tương tự dẫn đến hoặc có khả năng dẫn đến ngăn cản doanh nghiệp khác tham gia, mở rộng thị trường hoặc loại bỏ doanh nghiệp khác; </w:t>
      </w:r>
    </w:p>
    <w:p w14:paraId="44387481"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đ) Áp đặt điều kiện cho doanh nghiệp khác trong ký kết hợp đồng mua, bán hàng hóa, dịch vụ hoặc yêu cầu doanh nghiệp khác, khách hàng chấp nhận các nghĩa vụ không liên quan trực tiếp đến đối tượng của hợp đồng dẫn đến hoặc có khả năng dẫn đến ngăn cản doanh nghiệp khác tham gia, mở rộng thị trường hoặc loại bỏ doanh nghiệp khác; </w:t>
      </w:r>
    </w:p>
    <w:p w14:paraId="44DA4032"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 xml:space="preserve">e) Ngăn cản việc tham gia hoặc mở rộng thị trường của doanh nghiệp khác; </w:t>
      </w:r>
    </w:p>
    <w:p w14:paraId="03DD9503"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g) Hành vi lạm dụng vị trí thống lĩnh thị trường bị cấm theo quy định của luật khác.”</w:t>
      </w:r>
    </w:p>
    <w:p w14:paraId="66AA3535"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Các quy định về hành vi lạm dụng vị trí thống lĩnh thị trường bị cấm tại khoản 1 Điều 27 Luật Cạnh tranh chủ yếu được thiết kế trên nền tảng các dạng thức lạm dụng vị trí thống lĩnh thị trường truyền thống, gắn với các yếu tố giá, sản lượng, điều kiện giao dịch và khả năng tiếp cận thị trường trong các ngành hàng hóa, dịch vụ hữu hình. Mặc dù một số hành vi được quy định với phạm vi tương đối rộng (như ngăn cản gia nhập thị trường, áp dụng điều kiện thương mại khác nhau hoặc áp đặt nghĩa vụ không liên quan trực tiếp đến đối tượng hợp đồng), nhưng các mô tả này vẫn chưa bao quát đầy đủ những phương thức lạm dụng mang tính đặc thù của nền tảng số. </w:t>
      </w:r>
    </w:p>
    <w:p w14:paraId="2AC81709" w14:textId="77777777" w:rsidR="0007395F"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Trên thực tế, sức mạnh thị trường của nền tảng số trung gian thường được thực thi thông qua thuật toán hiển thị, kiểm soát dữ liệu, thiết kế giao diện, quy tắc truy cập hệ sinh thái và khả năng tự ưu tiên dịch vụ nội bộ, thay vì thông qua việc ấn định giá hay hạn chế sản lượng theo nghĩa truyền thống. Ví dụ, nền tảng có thể thay đổi thuật toán xếp hạng để làm suy giảm khả năng tiếp cận người dùng của đối thủ, khai thác dữ liệu thu thập từ doanh nghiệp phụ thuộc để cạnh tranh ngược lại, thiết lập tiêu chuẩn kỹ thuật hoặc điều khoản sử dụng khiến bên thứ ba khó rời bỏ hệ sinh thái, hoặc kết hợp (bundling/tying) các dịch vụ số theo cách làm gia tăng chi phí chuyển đổi. Những hành vi này có thể gây méo mó cạnh tranh và loại trừ đối thủ mà không biểu hiện rõ qua các dấu hiệu như bán dưới giá thành toàn bộ, áp đặt giá bất hợp lý hay hạn chế sản lượng. </w:t>
      </w:r>
    </w:p>
    <w:p w14:paraId="4764B639" w14:textId="77777777" w:rsidR="002165C0"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Nếu chỉ áp dụng khuôn khổ hành vi lạm dụng theo khoản 1 Điều 27 sẽ có thể hạn chế cơ quan thực thi nhận diện và chứng minh vi phạm đối với các chiến lược loại trừ dựa trên dữ liệu, hiệu ứng mạng lưới và kiểm soát hạ tầng số. Điều này cho thấy nhu cầu bổ sung hoặc cụ thể hóa các dạng thức, hành vi lạm dụng vị trí thống lĩnh thị trường đặc thù của nền tảng</w:t>
      </w:r>
      <w:r w:rsidR="002165C0" w:rsidRPr="00ED5E38">
        <w:rPr>
          <w:noProof/>
          <w:color w:val="000000" w:themeColor="text1"/>
          <w:sz w:val="26"/>
          <w:szCs w:val="26"/>
          <w:lang w:val="vi-VN"/>
        </w:rPr>
        <w:t xml:space="preserve"> số trong pháp luật cạnh tranh.</w:t>
      </w:r>
    </w:p>
    <w:p w14:paraId="0C2F1CBD"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c) Về hành vi cạnh tranh không lành mạnh bị cấm</w:t>
      </w:r>
    </w:p>
    <w:p w14:paraId="4E49A0BC"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Điều 45 Luật Cạnh tranh quy định về hành vi cạnh tranh không lành mạnh bị cấm </w:t>
      </w:r>
      <w:r w:rsidRPr="00ED5E38">
        <w:rPr>
          <w:noProof/>
          <w:color w:val="000000" w:themeColor="text1"/>
          <w:sz w:val="26"/>
          <w:szCs w:val="26"/>
          <w:lang w:val="vi-VN"/>
        </w:rPr>
        <w:lastRenderedPageBreak/>
        <w:t xml:space="preserve">như sau: </w:t>
      </w:r>
    </w:p>
    <w:p w14:paraId="44C5C7FF"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noProof/>
          <w:color w:val="000000" w:themeColor="text1"/>
          <w:sz w:val="26"/>
          <w:szCs w:val="26"/>
          <w:lang w:val="vi-VN"/>
        </w:rPr>
        <w:t>“</w:t>
      </w:r>
      <w:bookmarkStart w:id="4" w:name="dieu_45"/>
      <w:r w:rsidRPr="00ED5E38">
        <w:rPr>
          <w:b/>
          <w:bCs/>
          <w:i/>
          <w:iCs/>
          <w:noProof/>
          <w:color w:val="000000" w:themeColor="text1"/>
          <w:sz w:val="26"/>
          <w:szCs w:val="26"/>
          <w:lang w:val="vi-VN"/>
        </w:rPr>
        <w:t>Điều 45. Các hành vi cạnh tranh không lành mạnh bị cấm</w:t>
      </w:r>
      <w:bookmarkEnd w:id="4"/>
    </w:p>
    <w:p w14:paraId="22D06BF1"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1. Xâm phạm thông tin bí mật trong kinh doanh dưới các hình thức sau đây:</w:t>
      </w:r>
    </w:p>
    <w:p w14:paraId="51FEF32B"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a) Tiếp cận, thu thập thông tin bí mật trong kinh doanh bằng cách chống lại các biện pháp bảo mật của người sở hữu thông tin đó;</w:t>
      </w:r>
    </w:p>
    <w:p w14:paraId="4710A978"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b) Tiết lộ, sử dụng thông tin bí mật trong kinh doanh mà không được phép của chủ sở hữu thông tin đó.</w:t>
      </w:r>
    </w:p>
    <w:p w14:paraId="780EB3A9"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pacing w:val="-4"/>
          <w:sz w:val="26"/>
          <w:szCs w:val="26"/>
          <w:lang w:val="vi-VN"/>
        </w:rPr>
      </w:pPr>
      <w:r w:rsidRPr="00ED5E38">
        <w:rPr>
          <w:i/>
          <w:iCs/>
          <w:noProof/>
          <w:color w:val="000000" w:themeColor="text1"/>
          <w:spacing w:val="-4"/>
          <w:sz w:val="26"/>
          <w:szCs w:val="26"/>
          <w:lang w:val="vi-VN"/>
        </w:rPr>
        <w:t>2. Ép buộc khách hàng, đối tác kinh doanh của doanh nghiệp khác bằng hành vi đe dọa hoặc cưỡng ép để buộc họ không giao dịch hoặc ngừng giao dịch với doanh nghiệp đó.</w:t>
      </w:r>
    </w:p>
    <w:p w14:paraId="4D7BCC07"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3. Cung cấp thông tin không trung thực về doanh nghiệp khác bằng cách trực tiếp hoặc gián tiếp đưa thông tin không trung thực về doanh nghiệp gây ảnh hưởng xấu đến uy tín, tình trạng tài chính hoặc hoạt động kinh doanh của doanh nghiệp đó.</w:t>
      </w:r>
    </w:p>
    <w:p w14:paraId="418C1993"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4. Gây rối hoạt động kinh doanh của doanh nghiệp khác bằng cách trực tiếp hoặc gián tiếp cản trở, làm gián đoạn hoạt động kinh doanh hợp pháp của doanh nghiệp đó.</w:t>
      </w:r>
    </w:p>
    <w:p w14:paraId="54E0D124"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5. Lôi kéo khách hàng bất chính bằng các hình thức sau đây:</w:t>
      </w:r>
    </w:p>
    <w:p w14:paraId="2DDAC052"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a) Đưa thông tin gian dối hoặc gây nhầm lẫn cho khách hàng về doanh nghiệp hoặc hàng hóa, dịch vụ, khuyến mại, điều kiện giao dịch liên quan đến hàng hóa, dịch vụ mà doanh nghiệp cung cấp nhằm thu hút khách hàng của doanh nghiệp khác;</w:t>
      </w:r>
    </w:p>
    <w:p w14:paraId="2A5DCAD9"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b) So sánh hàng hóa, dịch vụ của mình với hàng hóa, dịch vụ cùng loại của doanh nghiệp khác nhưng không chứng minh được nội dung.</w:t>
      </w:r>
    </w:p>
    <w:p w14:paraId="08766293"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6. Bán hàng hóa, cung ứng dịch vụ dưới giá thành toàn bộ dẫn đến hoặc có khả năng dẫn đến loại bỏ doanh nghiệp khác cùng kinh doanh loại hàng hóa, dịch vụ đó.</w:t>
      </w:r>
    </w:p>
    <w:p w14:paraId="2ED308AB"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i/>
          <w:iCs/>
          <w:noProof/>
          <w:color w:val="000000" w:themeColor="text1"/>
          <w:spacing w:val="-4"/>
          <w:sz w:val="26"/>
          <w:szCs w:val="26"/>
          <w:lang w:val="vi-VN"/>
        </w:rPr>
      </w:pPr>
      <w:r w:rsidRPr="00ED5E38">
        <w:rPr>
          <w:i/>
          <w:iCs/>
          <w:noProof/>
          <w:color w:val="000000" w:themeColor="text1"/>
          <w:spacing w:val="-4"/>
          <w:sz w:val="26"/>
          <w:szCs w:val="26"/>
          <w:lang w:val="vi-VN"/>
        </w:rPr>
        <w:t>7. Các hành vi cạnh tranh không lành mạnh khác bị cấm theo quy định của luật khác.”</w:t>
      </w:r>
    </w:p>
    <w:p w14:paraId="2BAA0E97"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Quá trình thực thi Điều 45 Luật Cạnh tranh đã cho thấy quy định này bộc lộ một số vấn đề bất cập, cụ thể như sau: </w:t>
      </w:r>
    </w:p>
    <w:p w14:paraId="1BF567CA" w14:textId="77777777" w:rsidR="00ED5E38" w:rsidRPr="00FD5E31" w:rsidRDefault="00ED5E38"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FD5E31">
        <w:rPr>
          <w:noProof/>
          <w:color w:val="000000" w:themeColor="text1"/>
          <w:sz w:val="26"/>
          <w:szCs w:val="26"/>
          <w:lang w:val="vi-VN"/>
        </w:rPr>
        <w:t xml:space="preserve">(i) </w:t>
      </w:r>
      <w:r w:rsidR="0007395F" w:rsidRPr="00ED5E38">
        <w:rPr>
          <w:i/>
          <w:iCs/>
          <w:noProof/>
          <w:color w:val="000000" w:themeColor="text1"/>
          <w:sz w:val="26"/>
          <w:szCs w:val="26"/>
          <w:lang w:val="vi-VN"/>
        </w:rPr>
        <w:t>Sự chồng chéo, trùng lắp giữa quy định của Luật Cạnh tranh và Luật Sở hữu trí tuệ về hành vi xâm phạm bí mật kinh doanh</w:t>
      </w:r>
    </w:p>
    <w:p w14:paraId="7953015C"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Khoản 1 Điều 45 Luật Cạnh tranh quy định hành vi cạnh tranh không lành mạnh bị cấm, trong đó bao gồm hành vi xâm phạm thông tin bí mật trong kinh doanh, cụ thể: (a) tiếp cận, thu thập thông tin bí mật bằng cách chống lại các biện pháp bảo mật của chủ sở hữu; (b) tiết lộ hoặc sử dụng thông tin bí mật khi chưa được phép.</w:t>
      </w:r>
    </w:p>
    <w:p w14:paraId="4C25C60A"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Trong khi đó, điểm a khoản 1 Điều 127 Luật Sở hữu trí tuệ quy định hành vi tiếp cận, thu thập thông tin thuộc bí mật kinh doanh bằng cách chống lại các biện pháp bảo mật của người kiểm soát hợp pháp bí mật kinh doanh là hành vi xâm phạm quyền đối với bí mật kinh doanh.</w:t>
      </w:r>
    </w:p>
    <w:p w14:paraId="12EBEADC"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lastRenderedPageBreak/>
        <w:t>Đối chiếu hai quy định cho thấy mức độ trùng lặp đáng kể về nội dung điều chỉnh, thể hiện ở các yếu tố cấu thành hành vi, tiêu chí nhận diện và hệ quả pháp lý. Sự trùng lặp này không chỉ mang tính giao thoa kỹ thuật giữa hai lĩnh vực pháp luật mà là trùng lặp về bản chất hành vi bị điều chỉnh, dẫn đến nguy cơ chồng chéo trong áp dụng và thực thi pháp luật.</w:t>
      </w:r>
    </w:p>
    <w:p w14:paraId="26E79E1A"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Thực tiễn cho thấy, hành vi xâm phạm bí mật kinh doanh thường đồng thời vừa là hành vi xâm phạm quyền sở hữu trí tuệ, vừa có thể cấu thành hành vi cạnh tranh không lành mạnh. Tuy nhiên, việc cùng một hành vi được quy định với phạm vi và cách tiếp cận tương tự trong hai đạo luật khác nhau có thể làm phát sinh khó khăn trong xác định căn cứ pháp lý áp dụng, thẩm quyền xử lý và cơ chế chế tài, từ đó ảnh hưởng đến tính thống nhất và minh bạch của hệ thống pháp luật.</w:t>
      </w:r>
    </w:p>
    <w:p w14:paraId="5CAD50D3" w14:textId="77777777" w:rsidR="00ED5E38" w:rsidRPr="00ED5E38" w:rsidRDefault="00ED5E38"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(ii) </w:t>
      </w:r>
      <w:r w:rsidR="0007395F" w:rsidRPr="00ED5E38">
        <w:rPr>
          <w:i/>
          <w:iCs/>
          <w:noProof/>
          <w:color w:val="000000" w:themeColor="text1"/>
          <w:sz w:val="26"/>
          <w:szCs w:val="26"/>
          <w:lang w:val="vi-VN"/>
        </w:rPr>
        <w:t>Sự xuất hiện ngày càng phổ biến của một số hành vi có tính chất cạnh tranh không lành mạnh nhưng chưa được điều chỉnh bởi Luật Cạnh tranh</w:t>
      </w:r>
    </w:p>
    <w:p w14:paraId="4B63AE26"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Qua công tác rà soát, giám sát cạnh tranh, tiếp nhận và xử lý đơn, thư khiếu nại, phản ánh, kiến nghị gửi đến Ủy ban Cạnh tranh Quốc gia, đã phát hiện một số hành vi có tính chất cạnh tranh không lành mạnh diễn ra khá phổ biến trên thị trường nhưng chưa được điều chỉnh đầy đủ, rõ ràng trong Điều 45 Luật Cạnh tranh hiện hành, điển hình như:</w:t>
      </w:r>
    </w:p>
    <w:p w14:paraId="23154B47" w14:textId="77777777" w:rsidR="00ED5E38" w:rsidRPr="00ED5E38" w:rsidRDefault="00ED5E38"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 </w:t>
      </w:r>
      <w:r w:rsidR="0007395F" w:rsidRPr="00ED5E38">
        <w:rPr>
          <w:i/>
          <w:iCs/>
          <w:noProof/>
          <w:color w:val="000000" w:themeColor="text1"/>
          <w:sz w:val="26"/>
          <w:szCs w:val="26"/>
          <w:lang w:val="vi-VN"/>
        </w:rPr>
        <w:t>Hành vi cản trở hoạt động kinh doanh hợp pháp của doanh nghiệp khác thông qua việc lạm dụng quyền cấp, gia hạn, duy trì hoặc chấm dứt hiệu lực giấy phép bán hàng hoặc các văn bản tương đương</w:t>
      </w:r>
    </w:p>
    <w:p w14:paraId="080B491A"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Thực tiễn cho thấy một số doanh nghiệp nắm giữ vị trí cung cấp độc quyền một loại hàng hóa, dịch vụ đặc thù hoặc có khả năng chi phối nguồn hàng đã lợi dụng quyền cấp giấy phép bán hàng, gây khó khăn cho nhà thầu đã trúng thầu trong việc thực hiện các gói thầu mua sắm công, dẫn đến loại bỏ đối tác hoặc đối thủ cạnh tranh của đối tác thân thiết hoặc doanh nghiệp trong hệ sinh thái của mình. </w:t>
      </w:r>
    </w:p>
    <w:p w14:paraId="726E11B1" w14:textId="77777777" w:rsidR="00ED5E38" w:rsidRPr="00FD5E31"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Các biểu hiện phổ biến bao gồm: từ chối cấp hoặc áp dụng điều kiện bất hợp lý khi cấp giấy phép bán hàng hoặc văn bản tương đương cho doanh nghiệp đủ điều kiện; đơn phương rút lại giấy phép bán hàng đã cấp mà không có lý do chính đáng hoặc không báo trước; hoặc chỉ cấp giấy phép cho một hoặc một số đối tác nhất định nhằm tạo lợi thế cạnh tranh bất bình đẳng. </w:t>
      </w:r>
    </w:p>
    <w:p w14:paraId="1949CDD9"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Đặc biệt, trong lĩnh vực đấu thầu, đã xuất hiện tình trạng nhà sản xuất hoặc nhà phân phối từ chối cấp giấy ủy quyền, giấy phép bán hàng hoặc hỗ trợ kỹ thuật cho đơn vị trúng thầu không phải là đối tác thân thiết, đặc biệt trong các lĩnh vực có số lượng nhà cung cấp hạn chế hoặc hàng hóa mang tính đặc thù cao như thiết bị y tế, công nghệ thông tin, qua đó tạo rào cản từ nguồn cung để loại bỏ nhà thầu mới. Các hành vi này xâm phạm quyền tự do kinh doanh hợp pháp của doanh nghiệp khác, làm méo mó cạnh tranh, ảnh hưởng đến kết quả đấu thầu và hiệu quả sử dụng ngân sách nhà nước.</w:t>
      </w:r>
    </w:p>
    <w:p w14:paraId="18695A52"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Bên cạnh đó, thực tiễn cũng ghi nhận tình trạng chỉ cấp giấy phép bán hàng cho </w:t>
      </w:r>
      <w:r w:rsidRPr="00ED5E38">
        <w:rPr>
          <w:noProof/>
          <w:color w:val="000000" w:themeColor="text1"/>
          <w:sz w:val="26"/>
          <w:szCs w:val="26"/>
          <w:lang w:val="vi-VN"/>
        </w:rPr>
        <w:lastRenderedPageBreak/>
        <w:t>một hoặc một số đối tác nhất định mà không có căn cứ khách quan, thường nhằm tạo lợi thế cạnh tranh bất bình đẳng cho các đơn vị “sân sau” hoặc đối tác thân thiết. Hành vi này làm méo mó cấu trúc cạnh tranh trên thị trường, hạn chế cơ hội gia nhập thị trường hoặc mở rộng kinh doanh của doanh nghiệp mới, đồng thời thu hẹp sự lựa chọn của người tiêu dùng.</w:t>
      </w:r>
    </w:p>
    <w:p w14:paraId="3C86A8CC"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Xét về bản chất, các hành vi nêu trên xâm phạm quyền tự do kinh doanh hợp pháp của doanh nghiệp khác, gây tổn hại đến lợi ích của người tiêu dùng và trật tự cạnh tranh trên thị trường. Tuy nhiên, các dạng thức cản trở kinh doanh thông qua cơ chế cấp giấy phép bán hàng hiện chưa được nhận diện và điều chỉnh một cách đầy đủ, rõ ràng tại Điều 45 Luật Cạnh tranh, dẫn đến khoảng trống pháp lý trong xử lý và phòng ngừa.</w:t>
      </w:r>
    </w:p>
    <w:p w14:paraId="38EE5229" w14:textId="77777777" w:rsidR="00ED5E38" w:rsidRPr="00ED5E38" w:rsidRDefault="00ED5E38"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pacing w:val="-2"/>
          <w:sz w:val="26"/>
          <w:szCs w:val="26"/>
          <w:lang w:val="vi-VN"/>
        </w:rPr>
      </w:pPr>
      <w:r w:rsidRPr="00ED5E38">
        <w:rPr>
          <w:noProof/>
          <w:color w:val="000000" w:themeColor="text1"/>
          <w:spacing w:val="-2"/>
          <w:sz w:val="26"/>
          <w:szCs w:val="26"/>
          <w:lang w:val="vi-VN"/>
        </w:rPr>
        <w:t xml:space="preserve">- </w:t>
      </w:r>
      <w:r w:rsidR="0007395F" w:rsidRPr="00ED5E38">
        <w:rPr>
          <w:i/>
          <w:iCs/>
          <w:noProof/>
          <w:color w:val="000000" w:themeColor="text1"/>
          <w:spacing w:val="-2"/>
          <w:sz w:val="26"/>
          <w:szCs w:val="26"/>
          <w:lang w:val="vi-VN"/>
        </w:rPr>
        <w:t xml:space="preserve">Hành vi sử dụng chỉ dẫn thương mại của mình hoặc của người khác dưới bất kỳ hình thức nào gây nhầm lẫn hoặc có khả năng gây nhầm lẫn cho khách hàng về chủ thể kinh doanh, quan hệ liên kết trong kinh doanh hoặc nguồn gốc thương mại của hàng hóa, dịch vụ, trừ hành vi xâm phạm quyền sở hữu trí tuệ được xử lý theo pháp luật về sở hữu trí tuệ </w:t>
      </w:r>
    </w:p>
    <w:p w14:paraId="2AD92555"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Trong thời gian qua, </w:t>
      </w:r>
      <w:r w:rsidR="002165C0" w:rsidRPr="00ED5E38">
        <w:rPr>
          <w:noProof/>
          <w:color w:val="000000" w:themeColor="text1"/>
          <w:sz w:val="26"/>
          <w:szCs w:val="26"/>
          <w:lang w:val="vi-VN"/>
        </w:rPr>
        <w:t xml:space="preserve">Bộ Công Thương </w:t>
      </w:r>
      <w:r w:rsidRPr="00ED5E38">
        <w:rPr>
          <w:noProof/>
          <w:color w:val="000000" w:themeColor="text1"/>
          <w:sz w:val="26"/>
          <w:szCs w:val="26"/>
          <w:lang w:val="vi-VN"/>
        </w:rPr>
        <w:t>đã tiếp nhận một số phản ánh, khiếu nại liên quan đến việc doanh nghiệp sử dụng các chỉ dẫn thương mại như tên thương mại, biểu tượng kinh doanh, khẩu hiệu, bao bì, nhãn hàng hóa, tên miền, thiết kế giao diện website, ứng dụng hoặc cách thức bài trí, thiết kế nơi kinh doanh tương tự hoặc gần giống với doanh nghiệp khác, gây nhầm lẫn hoặc có khả năng gây nhầm lẫn cho khách hàng về chủ thể kinh doanh hoặc nguồn gốc thương mại của hàng hóa, dịch vụ.</w:t>
      </w:r>
    </w:p>
    <w:p w14:paraId="65708382" w14:textId="77777777" w:rsidR="00ED5E38" w:rsidRPr="00ED5E3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Thực tiễn ghi nhận các trường hợp doanh nghiệp sử dụng hình ảnh, màu sắc, tên gọi sản phẩm hoặc cách thức nhận diện thương mại gần giống với sản phẩm, hệ thống cửa hàng của doanh nghiệp khác; hoặc sao chép thiết kế, bài trí cửa hàng (trade dress), bao bì sản phẩm nhằm thu hút khách hàng. Những hành vi này làm sai lệch nhận thức của người tiêu dùng về mối liên hệ giữa các doanh nghiệp, tạo lợi thế cạnh tranh không công bằng cho chủ thể vi phạm và làm suy giảm tính minh bạch của thị trường.</w:t>
      </w:r>
    </w:p>
    <w:p w14:paraId="7CF6A369" w14:textId="77777777" w:rsidR="008D1468" w:rsidRPr="008D146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Mặc dù nhiều hành vi sử dụng chỉ dẫn thương mại gây nhầm lẫn đã được điều chỉnh bởi pháp luật về sở hữu trí tuệ, trên thực tế tồn tại khoảng trống điều chỉnh đối với các trường hợp chưa đủ yếu tố cấu thành xâm phạm quyền sở hữu trí tuệ nhưng vẫn gây tác động tiêu cực đến cạnh tranh và người tiêu dùng. Trong những trường hợp này, nếu thiếu cơ chế xử lý theo pháp luật cạnh tranh, hành vi gây nhầm lẫn vẫn có thể tiếp diễn mà không có công cụ pháp lý hiệu quả để ngăn chặn kịp thời</w:t>
      </w:r>
      <w:r w:rsidR="00ED5E38" w:rsidRPr="00ED5E38">
        <w:rPr>
          <w:noProof/>
          <w:color w:val="000000" w:themeColor="text1"/>
          <w:sz w:val="26"/>
          <w:szCs w:val="26"/>
          <w:lang w:val="vi-VN"/>
        </w:rPr>
        <w:t>.</w:t>
      </w:r>
    </w:p>
    <w:p w14:paraId="67219F1A" w14:textId="77777777" w:rsidR="008D1468" w:rsidRPr="008D1468" w:rsidRDefault="0007395F" w:rsidP="008D1468">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lang w:val="vi-VN"/>
        </w:rPr>
      </w:pPr>
      <w:r w:rsidRPr="00ED5E38">
        <w:rPr>
          <w:noProof/>
          <w:color w:val="000000" w:themeColor="text1"/>
          <w:sz w:val="26"/>
          <w:szCs w:val="26"/>
          <w:lang w:val="vi-VN"/>
        </w:rPr>
        <w:t xml:space="preserve">Do đó, việc bổ sung, làm rõ phạm vi điều chỉnh đối với hành vi sử dụng chỉ dẫn thương mại gây nhầm lẫn theo hướng không chồng chéo với pháp luật sở hữu trí tuệ nhưng bảo đảm xử lý được các trường hợp chưa đủ yếu tố xâm phạm quyền là cần thiết nhằm duy trì chuẩn mực trung thực trong kinh doanh, bảo vệ quyền lợi người tiêu dùng và bảo đảm môi </w:t>
      </w:r>
      <w:r w:rsidRPr="008D1468">
        <w:rPr>
          <w:lang w:val="vi-VN"/>
        </w:rPr>
        <w:t>trường cạnh tranh công bằng, lành mạnh</w:t>
      </w:r>
      <w:r w:rsidR="008D1468" w:rsidRPr="008D1468">
        <w:rPr>
          <w:lang w:val="vi-VN"/>
        </w:rPr>
        <w:t>.</w:t>
      </w:r>
    </w:p>
    <w:p w14:paraId="01D3E138" w14:textId="77777777" w:rsidR="008D1468" w:rsidRPr="008D1468" w:rsidRDefault="0007395F" w:rsidP="0027142B">
      <w:pPr>
        <w:pStyle w:val="Heading2"/>
      </w:pPr>
      <w:r w:rsidRPr="008D1468">
        <w:t>2.1.3.2. Vấn đ</w:t>
      </w:r>
      <w:r w:rsidRPr="008D1468">
        <w:rPr>
          <w:kern w:val="36"/>
        </w:rPr>
        <w:t xml:space="preserve">ề 2: </w:t>
      </w:r>
      <w:r w:rsidRPr="008D1468">
        <w:t xml:space="preserve">Hoàn thiện một số quy định liên quan đến tố tụng cạnh tranh, gồm trình tự, thủ tục tiếp nhận, xem xét, trả hồ sơ khiếu nại vụ việc cạnh tranh </w:t>
      </w:r>
      <w:r w:rsidRPr="008D1468">
        <w:lastRenderedPageBreak/>
        <w:t>và trình tự, thủ tục xử lý vụ việc cạnh tranh</w:t>
      </w:r>
    </w:p>
    <w:p w14:paraId="1BB7CDC9" w14:textId="77777777" w:rsidR="008D1468" w:rsidRPr="008D1468" w:rsidRDefault="0007395F" w:rsidP="008D1468">
      <w:pPr>
        <w:pStyle w:val="Heading3"/>
        <w:ind w:firstLine="720"/>
        <w:rPr>
          <w:noProof/>
          <w:color w:val="000000" w:themeColor="text1"/>
          <w:lang w:val="vi-VN"/>
        </w:rPr>
      </w:pPr>
      <w:r w:rsidRPr="00ED5E38">
        <w:rPr>
          <w:rFonts w:cs="Times New Roman"/>
          <w:b w:val="0"/>
          <w:bCs w:val="0"/>
          <w:iCs/>
          <w:noProof/>
          <w:color w:val="000000" w:themeColor="text1"/>
          <w:lang w:val="vi-VN"/>
        </w:rPr>
        <w:t>a) Về trình tự, thủ tục tiếp nhận, xem xét, trả hồ sơ khiếu nại vụ việc cạnh tranh</w:t>
      </w:r>
    </w:p>
    <w:p w14:paraId="68A0E7F2"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Về trình tự, thủ tục tiếp nhận, xem xét hồ sơ khiếu nại, Điều 78 Luật Cạnh tranh quy định như sau:</w:t>
      </w:r>
    </w:p>
    <w:p w14:paraId="20350B2B"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w:t>
      </w:r>
      <w:r w:rsidRPr="00FD5E31">
        <w:rPr>
          <w:b/>
          <w:bCs/>
          <w:i/>
          <w:iCs/>
          <w:noProof/>
          <w:color w:val="000000" w:themeColor="text1"/>
          <w:sz w:val="26"/>
          <w:szCs w:val="26"/>
          <w:lang w:val="vi-VN"/>
        </w:rPr>
        <w:t>Điều 78. Tiếp nhận, xem xét hồ sơ khiếu nại</w:t>
      </w:r>
    </w:p>
    <w:p w14:paraId="0F04CCA8"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1. Trong thời hạn 07 ngày làm việc kể từ ngày nhận được hồ sơ khiếu nại, Ủy ban Cạnh tranh Quốc gia có trách nhiệm xem xét tính đầy đủ, hợp lệ của hồ sơ khiếu nại; trường hợp hồ sơ khiếu nại đầy đủ, hợp lệ, Ủy ban Cạnh tranh Quốc gia thông báo cho bên khiếu nại về việc tiếp nhận hồ sơ đồng thời thông báo cho bên bị khiếu nại.</w:t>
      </w:r>
    </w:p>
    <w:p w14:paraId="7A792F60"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2. Trong thời hạn 15 ngày kể từ ngày ra thông báo cho các bên liên quan quy định tại khoản 1 Điều này, Ủy ban Cạnh tranh Quốc gia xem xét hồ sơ khiếu nại; trường hợp hồ sơ khiếu nại không đáp ứng yêu cầu theo quy định tại </w:t>
      </w:r>
      <w:bookmarkStart w:id="5" w:name="tc_35"/>
      <w:r w:rsidRPr="00ED5E38">
        <w:rPr>
          <w:i/>
          <w:iCs/>
          <w:noProof/>
          <w:color w:val="000000" w:themeColor="text1"/>
          <w:sz w:val="26"/>
          <w:szCs w:val="26"/>
          <w:lang w:val="vi-VN"/>
        </w:rPr>
        <w:t>khoản 3 Điều 77 của Luật này</w:t>
      </w:r>
      <w:bookmarkEnd w:id="5"/>
      <w:r w:rsidRPr="00ED5E38">
        <w:rPr>
          <w:i/>
          <w:iCs/>
          <w:noProof/>
          <w:color w:val="000000" w:themeColor="text1"/>
          <w:sz w:val="26"/>
          <w:szCs w:val="26"/>
          <w:lang w:val="vi-VN"/>
        </w:rPr>
        <w:t>, Ủy ban Cạnh tranh Quốc gia thông báo bằng văn bản về việc bổ sung hồ sơ khiếu nại cho bên khiếu nại.</w:t>
      </w:r>
    </w:p>
    <w:p w14:paraId="6F25B1B4"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Thời hạn bổ sung hồ sơ khiếu nại là không quá 30 ngày kể từ ngày nhận được thông báo yêu cầu bổ sung hồ sơ khiếu nại. Ủy ban Cạnh tranh Quốc gia có thể gia hạn thời gian bổ sung hồ sơ một lần nhưng không quá 15 ngày theo đề nghị của bên khiếu nại.</w:t>
      </w:r>
    </w:p>
    <w:p w14:paraId="2410A4BE" w14:textId="77777777" w:rsidR="008D1468"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3. Trong thời hạn quy định tại khoản 1 và khoản 2 Điều này, bên khiếu nại có quyền rút hồ sơ khiếu nại và Ủy ban Cạnh tranh Quốc gia dừng việc xem xét hồ sơ khiếu nại”.</w:t>
      </w:r>
    </w:p>
    <w:p w14:paraId="2A91C1A2" w14:textId="77777777" w:rsid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rPr>
      </w:pPr>
      <w:r w:rsidRPr="00ED5E38">
        <w:rPr>
          <w:noProof/>
          <w:color w:val="000000" w:themeColor="text1"/>
          <w:sz w:val="26"/>
          <w:szCs w:val="26"/>
          <w:lang w:val="vi-VN"/>
        </w:rPr>
        <w:t xml:space="preserve">Về các trường hợp Ủy ban Cạnh tranh Quốc gia trả lại hồ sơ khiếu nại vụ việc cạnh tranh, Điều 79 Luật Cạnh tranh quy định như sau: </w:t>
      </w:r>
    </w:p>
    <w:p w14:paraId="2DEE6EE2" w14:textId="77777777" w:rsid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rPr>
      </w:pPr>
      <w:r w:rsidRPr="00FD5E31">
        <w:rPr>
          <w:b/>
          <w:bCs/>
          <w:i/>
          <w:iCs/>
          <w:noProof/>
          <w:color w:val="000000" w:themeColor="text1"/>
          <w:sz w:val="26"/>
          <w:szCs w:val="26"/>
          <w:lang w:val="vi-VN"/>
        </w:rPr>
        <w:t>“Điều 79. Trả lại hồ sơ khiếu nại</w:t>
      </w:r>
    </w:p>
    <w:p w14:paraId="2F5E59D6" w14:textId="5DDE22EB" w:rsidR="0007395F" w:rsidRPr="008D1468" w:rsidRDefault="0007395F" w:rsidP="008D1468">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lang w:val="vi-VN"/>
        </w:rPr>
      </w:pPr>
      <w:r w:rsidRPr="00ED5E38">
        <w:rPr>
          <w:i/>
          <w:iCs/>
          <w:noProof/>
          <w:color w:val="000000" w:themeColor="text1"/>
          <w:sz w:val="26"/>
          <w:szCs w:val="26"/>
          <w:lang w:val="vi-VN"/>
        </w:rPr>
        <w:t>Ủy ban Cạnh tranh Quốc gia trả lại hồ sơ khiếu nại vụ việc cạnh tranh trong các trường hợp sau đây:</w:t>
      </w:r>
    </w:p>
    <w:p w14:paraId="51A92202" w14:textId="77777777" w:rsidR="0007395F" w:rsidRPr="00ED5E38" w:rsidRDefault="0007395F" w:rsidP="00ED5E38">
      <w:pPr>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1. Thời hiệu khiếu nại đã hết;</w:t>
      </w:r>
    </w:p>
    <w:p w14:paraId="608A9A90" w14:textId="77777777" w:rsidR="0007395F" w:rsidRPr="00ED5E38" w:rsidRDefault="0007395F" w:rsidP="00ED5E38">
      <w:pPr>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2. Khiếu nại không thuộc thẩm quyền giải quyết của Ủy ban Cạnh tranh Quốc gia;</w:t>
      </w:r>
    </w:p>
    <w:p w14:paraId="40587F79" w14:textId="77777777" w:rsidR="0007395F" w:rsidRPr="00ED5E38" w:rsidRDefault="0007395F" w:rsidP="00ED5E38">
      <w:pPr>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3. Bên khiếu nại không bổ sung đầy đủ hồ sơ theo quy định tại khoản 2 Điều 78 của Luật này;</w:t>
      </w:r>
    </w:p>
    <w:p w14:paraId="1E1F13C9" w14:textId="77777777" w:rsidR="0007395F" w:rsidRPr="00ED5E38" w:rsidRDefault="0007395F" w:rsidP="00ED5E38">
      <w:pPr>
        <w:spacing w:before="120" w:after="120" w:line="340" w:lineRule="exact"/>
        <w:ind w:firstLine="720"/>
        <w:jc w:val="both"/>
        <w:rPr>
          <w:i/>
          <w:iCs/>
          <w:noProof/>
          <w:color w:val="000000" w:themeColor="text1"/>
          <w:sz w:val="26"/>
          <w:szCs w:val="26"/>
          <w:lang w:val="vi-VN"/>
        </w:rPr>
      </w:pPr>
      <w:r w:rsidRPr="00ED5E38">
        <w:rPr>
          <w:i/>
          <w:iCs/>
          <w:noProof/>
          <w:color w:val="000000" w:themeColor="text1"/>
          <w:sz w:val="26"/>
          <w:szCs w:val="26"/>
          <w:lang w:val="vi-VN"/>
        </w:rPr>
        <w:t>4. Bên khiếu nại xin rút hồ sơ khiếu nại.”</w:t>
      </w:r>
    </w:p>
    <w:p w14:paraId="2946BCCB" w14:textId="77777777" w:rsidR="0007395F" w:rsidRPr="00ED5E38" w:rsidRDefault="0007395F"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Như vậy, Điều 78 Luật Cạnh tranh chỉ quy định rõ cách xử lý khi hồ sơ đầy đủ, hợp lệ, mà chưa quy định cụ thể về biện pháp xử lý trong trường hợp hồ sơ ngay từ đầu không đầy đủ, hợp lệ. Khoảng trống này dẫn đến hai cách hiểu khác nhau trong thực tiễn:</w:t>
      </w:r>
    </w:p>
    <w:p w14:paraId="19C5891F" w14:textId="77777777" w:rsidR="0007395F" w:rsidRPr="00ED5E38" w:rsidRDefault="0007395F" w:rsidP="00ED5E38">
      <w:pPr>
        <w:pStyle w:val="ListParagraph"/>
        <w:numPr>
          <w:ilvl w:val="0"/>
          <w:numId w:val="24"/>
        </w:numPr>
        <w:tabs>
          <w:tab w:val="left" w:pos="851"/>
        </w:tabs>
        <w:spacing w:before="120" w:after="120" w:line="340" w:lineRule="exact"/>
        <w:ind w:left="0" w:firstLine="720"/>
        <w:jc w:val="both"/>
        <w:rPr>
          <w:rFonts w:ascii="Times New Roman" w:eastAsia="Times New Roman" w:hAnsi="Times New Roman"/>
          <w:noProof/>
          <w:color w:val="000000" w:themeColor="text1"/>
          <w:sz w:val="26"/>
          <w:szCs w:val="26"/>
          <w:lang w:val="vi-VN"/>
        </w:rPr>
      </w:pPr>
      <w:r w:rsidRPr="00ED5E38">
        <w:rPr>
          <w:rFonts w:ascii="Times New Roman" w:eastAsia="Times New Roman" w:hAnsi="Times New Roman"/>
          <w:noProof/>
          <w:color w:val="000000" w:themeColor="text1"/>
          <w:sz w:val="26"/>
          <w:szCs w:val="26"/>
          <w:lang w:val="vi-VN"/>
        </w:rPr>
        <w:lastRenderedPageBreak/>
        <w:t>Cách hiểu thứ nhất: UBCTQG ra thông báo yêu cầu bên khiếu nại sửa đổi, bổ sung để hoàn thiện hồ sơ. Tuy nhiên, do Luật không quy định thời hạn tương ứng ở giai đoạn kiểm tra tính đầy đủ, hợp lệ ban đầu, cơ quan quản lý gặp khó khăn trong việc ấn định mốc thời gian xử lý.</w:t>
      </w:r>
    </w:p>
    <w:p w14:paraId="4A2A27C7" w14:textId="77777777" w:rsidR="0007395F" w:rsidRPr="00ED5E38" w:rsidRDefault="0007395F" w:rsidP="00ED5E38">
      <w:pPr>
        <w:pStyle w:val="ListParagraph"/>
        <w:numPr>
          <w:ilvl w:val="0"/>
          <w:numId w:val="24"/>
        </w:numPr>
        <w:tabs>
          <w:tab w:val="left" w:pos="851"/>
        </w:tabs>
        <w:spacing w:before="120" w:after="120" w:line="340" w:lineRule="exact"/>
        <w:ind w:left="0" w:firstLine="720"/>
        <w:jc w:val="both"/>
        <w:rPr>
          <w:rFonts w:ascii="Times New Roman" w:eastAsia="Times New Roman" w:hAnsi="Times New Roman"/>
          <w:noProof/>
          <w:color w:val="000000" w:themeColor="text1"/>
          <w:sz w:val="26"/>
          <w:szCs w:val="26"/>
          <w:lang w:val="vi-VN"/>
        </w:rPr>
      </w:pPr>
      <w:r w:rsidRPr="00ED5E38">
        <w:rPr>
          <w:rFonts w:ascii="Times New Roman" w:eastAsia="Times New Roman" w:hAnsi="Times New Roman"/>
          <w:noProof/>
          <w:color w:val="000000" w:themeColor="text1"/>
          <w:sz w:val="26"/>
          <w:szCs w:val="26"/>
          <w:lang w:val="vi-VN"/>
        </w:rPr>
        <w:t>Cách hiểu thứ hai: UBCTQG chỉ thông báo hồ sơ không đầy đủ, hợp lệ mà không đặt ra cơ chế bổ sung, dẫn đến việc bên khiếu nại không có cơ hội hoàn thiện hồ sơ để tiếp tục được xem xét.</w:t>
      </w:r>
    </w:p>
    <w:p w14:paraId="4E44DC00" w14:textId="77777777" w:rsidR="0007395F" w:rsidRPr="00ED5E38" w:rsidRDefault="0007395F"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Sự thiếu rõ ràng này vừa gây lúng túng trong tổ chức thực hiện của cơ quan quản lý, vừa có thể hạn chế quyền của bên khiếu nại trong việc hoàn thiện hồ sơ. Trên thực tế, để khắc phục khoảng trống pháp lý, UBCTQG thường phải tổ chức các buổi làm việc trực tiếp với bên khiếu nại nhằm hướng dẫn bổ sung hồ sơ, làm phát sinh thêm thời gian và chi phí hành chính.</w:t>
      </w:r>
    </w:p>
    <w:p w14:paraId="42B8DC9E" w14:textId="77777777" w:rsidR="0007395F" w:rsidRPr="00ED5E38" w:rsidRDefault="0007395F"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Bên cạnh đó, khoản 3 Điều 79 Luật Cạnh tranh hiện chỉ quy định trường hợp trả lại hồ sơ khi bên khiếu nại không bổ sung đầy đủ hồ sơ theo yêu cầu tại khoản 2 Điều 78, tức là trong giai đoạn xem xét nội dung hồ sơ, nhưng chưa bao quát đầy đủ các tình huống bên khiếu nại không sửa đổi, bổ sung hoặc bổ sung không đạt yêu cầu ở cả giai đoạn kiểm tra tính đầy đủ, hợp lệ ban đầu theo khoản 1 Điều 78.</w:t>
      </w:r>
    </w:p>
    <w:p w14:paraId="48F47376" w14:textId="77777777" w:rsidR="0007395F" w:rsidRPr="00ED5E38" w:rsidRDefault="0007395F" w:rsidP="00ED5E38">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Khoảng trống này làm cho cơ chế trả lại hồ sơ khiếu nại chưa thật sự rõ ràng, thiếu tính thống nhất trong áp dụng và có thể dẫn đến cách xử lý khác nhau giữa các vụ việc trong thực tiễn.</w:t>
      </w:r>
    </w:p>
    <w:p w14:paraId="64FE5C71" w14:textId="77777777" w:rsidR="0007395F" w:rsidRPr="00ED5E38" w:rsidRDefault="0007395F" w:rsidP="00ED5E38">
      <w:pPr>
        <w:spacing w:before="120" w:after="120" w:line="340" w:lineRule="exact"/>
        <w:ind w:firstLine="720"/>
        <w:jc w:val="both"/>
        <w:outlineLvl w:val="2"/>
        <w:rPr>
          <w:i/>
          <w:iCs/>
          <w:noProof/>
          <w:color w:val="000000" w:themeColor="text1"/>
          <w:sz w:val="26"/>
          <w:szCs w:val="26"/>
          <w:lang w:val="vi-VN"/>
        </w:rPr>
      </w:pPr>
      <w:r w:rsidRPr="00ED5E38">
        <w:rPr>
          <w:i/>
          <w:iCs/>
          <w:noProof/>
          <w:color w:val="000000" w:themeColor="text1"/>
          <w:sz w:val="26"/>
          <w:szCs w:val="26"/>
          <w:lang w:val="vi-VN"/>
        </w:rPr>
        <w:t>b) Về trình tự, thủ tục xử lý vụ việc cạnh tranh</w:t>
      </w:r>
    </w:p>
    <w:p w14:paraId="196EAA25" w14:textId="77777777" w:rsidR="009C4936" w:rsidRPr="00ED5E38" w:rsidRDefault="009C4936" w:rsidP="00ED5E38">
      <w:pPr>
        <w:tabs>
          <w:tab w:val="right" w:leader="dot" w:pos="7920"/>
        </w:tabs>
        <w:spacing w:before="120" w:after="120" w:line="340" w:lineRule="exact"/>
        <w:ind w:firstLine="720"/>
        <w:jc w:val="both"/>
        <w:rPr>
          <w:bCs/>
          <w:noProof/>
          <w:color w:val="000000" w:themeColor="text1"/>
          <w:sz w:val="26"/>
          <w:szCs w:val="26"/>
          <w:lang w:val="vi-VN"/>
        </w:rPr>
      </w:pPr>
      <w:r w:rsidRPr="00ED5E38">
        <w:rPr>
          <w:noProof/>
          <w:color w:val="000000" w:themeColor="text1"/>
          <w:sz w:val="26"/>
          <w:szCs w:val="26"/>
          <w:lang w:val="vi-VN" w:eastAsia="zh-CN"/>
        </w:rPr>
        <w:t xml:space="preserve">Quy định pháp luật hiện hành </w:t>
      </w:r>
      <w:r w:rsidRPr="00ED5E38">
        <w:rPr>
          <w:noProof/>
          <w:color w:val="000000" w:themeColor="text1"/>
          <w:sz w:val="26"/>
          <w:szCs w:val="26"/>
          <w:lang w:val="vi-VN"/>
        </w:rPr>
        <w:t>chưa có sự tách bạch rõ ràng về quy trình xử lý đối với các hành vi vi phạm pháp luật về cạnh tranh (bao gồm hành vi thỏa thuận hạn chế cạnh tranh, lạm dụng vị trí thống lĩnh thị trường, lạm dụng vị trí độc quyền, hành vi vi phạm quy định về tập trung kinh tế, hành vi cạnh tranh không lành mạnh và hành vi vi phạm quy định pháp luật về cạnh tranh khác). V</w:t>
      </w:r>
      <w:r w:rsidRPr="00ED5E38">
        <w:rPr>
          <w:bCs/>
          <w:noProof/>
          <w:color w:val="000000" w:themeColor="text1"/>
          <w:sz w:val="26"/>
          <w:szCs w:val="26"/>
          <w:lang w:val="vi-VN"/>
        </w:rPr>
        <w:t xml:space="preserve">iệc chưa tách bạch hai quy trình xử lý vi phạm về cạnh tranh theo pháp luật cạnh tranh hay pháp luật xử lý vi phạm hành chính dẫn đến một số bất cập trong quá trình điều tra, xử lý vụ việc cạnh tranh, chưa phản ánh đúng bản chất của tố tụng cạnh tranh là quá trình điều tra và xử lý các hành vi có khả năng gây tác động hạn chế cạnh tranh đáng kể trên thị trường. </w:t>
      </w:r>
    </w:p>
    <w:p w14:paraId="458205B6" w14:textId="77777777" w:rsidR="009C4936" w:rsidRPr="00ED5E38" w:rsidRDefault="009C4936" w:rsidP="00ED5E38">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Cụ thể:</w:t>
      </w:r>
    </w:p>
    <w:p w14:paraId="282200C5" w14:textId="156109F5" w:rsidR="009C4936" w:rsidRPr="00ED5E38" w:rsidRDefault="009C4936" w:rsidP="00ED5E38">
      <w:pPr>
        <w:spacing w:before="120" w:after="120" w:line="340" w:lineRule="exact"/>
        <w:ind w:firstLine="720"/>
        <w:jc w:val="both"/>
        <w:rPr>
          <w:bCs/>
          <w:noProof/>
          <w:color w:val="000000" w:themeColor="text1"/>
          <w:sz w:val="26"/>
          <w:szCs w:val="26"/>
          <w:lang w:val="vi-VN"/>
        </w:rPr>
      </w:pPr>
      <w:r w:rsidRPr="00ED5E38">
        <w:rPr>
          <w:b/>
          <w:bCs/>
          <w:i/>
          <w:iCs/>
          <w:noProof/>
          <w:color w:val="000000" w:themeColor="text1"/>
          <w:sz w:val="26"/>
          <w:szCs w:val="26"/>
          <w:lang w:val="vi-VN" w:eastAsia="zh-CN"/>
        </w:rPr>
        <w:t>Thứ nhất,</w:t>
      </w:r>
      <w:r w:rsidRPr="00ED5E38">
        <w:rPr>
          <w:noProof/>
          <w:color w:val="000000" w:themeColor="text1"/>
          <w:sz w:val="26"/>
          <w:szCs w:val="26"/>
          <w:lang w:val="vi-VN" w:eastAsia="zh-CN"/>
        </w:rPr>
        <w:t xml:space="preserve"> v</w:t>
      </w:r>
      <w:r w:rsidRPr="00ED5E38">
        <w:rPr>
          <w:bCs/>
          <w:noProof/>
          <w:color w:val="000000" w:themeColor="text1"/>
          <w:sz w:val="26"/>
          <w:szCs w:val="26"/>
          <w:lang w:val="vi-VN"/>
        </w:rPr>
        <w:t>i phạm pháp luật trong lĩnh vực cạnh tranh có những đặc thù riêng, khác biệt so với các vi phạm hành chính thông thường khác, cụ thể:</w:t>
      </w:r>
    </w:p>
    <w:p w14:paraId="3B843D63" w14:textId="77777777" w:rsidR="009C4936" w:rsidRPr="00ED5E38" w:rsidRDefault="009C4936" w:rsidP="00ED5E38">
      <w:pPr>
        <w:widowControl w:val="0"/>
        <w:tabs>
          <w:tab w:val="left" w:pos="1134"/>
        </w:tabs>
        <w:spacing w:before="120" w:after="120" w:line="340" w:lineRule="exact"/>
        <w:ind w:firstLine="720"/>
        <w:jc w:val="both"/>
        <w:rPr>
          <w:bCs/>
          <w:noProof/>
          <w:color w:val="000000" w:themeColor="text1"/>
          <w:sz w:val="26"/>
          <w:szCs w:val="26"/>
          <w:lang w:val="vi-VN"/>
        </w:rPr>
      </w:pPr>
      <w:r w:rsidRPr="00ED5E38">
        <w:rPr>
          <w:bCs/>
          <w:i/>
          <w:iCs/>
          <w:noProof/>
          <w:color w:val="000000" w:themeColor="text1"/>
          <w:sz w:val="26"/>
          <w:szCs w:val="26"/>
          <w:lang w:val="vi-VN"/>
        </w:rPr>
        <w:t>+ Về mục tiêu,</w:t>
      </w:r>
      <w:r w:rsidRPr="00ED5E38">
        <w:rPr>
          <w:bCs/>
          <w:noProof/>
          <w:color w:val="000000" w:themeColor="text1"/>
          <w:sz w:val="26"/>
          <w:szCs w:val="26"/>
          <w:lang w:val="vi-VN"/>
        </w:rPr>
        <w:t xml:space="preserve"> vi phạm pháp luật cạnh tranh thường mang tính kinh tế - thị trường, có thể gây tác động lớn đến môi trường cạnh tranh và quyền lợi của người tiêu dùng, có tính chất phức tạp, tinh vi và khó phát hiện. Do đó, xử lý vi phạm pháp luật về cạnh tranh (điển hình như các hành vi hạn chế cạnh tranh, tập trung kinh tế, cạnh tranh không lành mạnh) nhằm đảm bảo trật tự cạnh tranh, bảo đảm môi trường kinh doanh, cạnh tranh công bằng, lành mạnh trên thị trường, trong khi xử phạt vi phạm hành chính </w:t>
      </w:r>
      <w:r w:rsidRPr="00ED5E38">
        <w:rPr>
          <w:bCs/>
          <w:noProof/>
          <w:color w:val="000000" w:themeColor="text1"/>
          <w:sz w:val="26"/>
          <w:szCs w:val="26"/>
          <w:lang w:val="vi-VN"/>
        </w:rPr>
        <w:lastRenderedPageBreak/>
        <w:t xml:space="preserve">thông thường nhằm duy trì trật tự quản lý nhà nước trong lĩnh vực cụ thể. </w:t>
      </w:r>
    </w:p>
    <w:p w14:paraId="5B33E52A" w14:textId="77777777" w:rsidR="009C4936" w:rsidRPr="00ED5E38" w:rsidRDefault="009C4936" w:rsidP="00ED5E38">
      <w:pPr>
        <w:widowControl w:val="0"/>
        <w:tabs>
          <w:tab w:val="left" w:pos="1134"/>
        </w:tabs>
        <w:spacing w:before="120" w:after="120" w:line="340" w:lineRule="exact"/>
        <w:ind w:firstLine="720"/>
        <w:jc w:val="both"/>
        <w:rPr>
          <w:bCs/>
          <w:noProof/>
          <w:color w:val="000000" w:themeColor="text1"/>
          <w:sz w:val="26"/>
          <w:szCs w:val="26"/>
          <w:lang w:val="vi-VN"/>
        </w:rPr>
      </w:pPr>
      <w:r w:rsidRPr="00ED5E38">
        <w:rPr>
          <w:bCs/>
          <w:i/>
          <w:iCs/>
          <w:noProof/>
          <w:color w:val="000000" w:themeColor="text1"/>
          <w:sz w:val="26"/>
          <w:szCs w:val="26"/>
          <w:lang w:val="vi-VN"/>
        </w:rPr>
        <w:t>+ Về hình thức và mức độ xử lý,</w:t>
      </w:r>
      <w:r w:rsidRPr="00ED5E38">
        <w:rPr>
          <w:bCs/>
          <w:noProof/>
          <w:color w:val="000000" w:themeColor="text1"/>
          <w:sz w:val="26"/>
          <w:szCs w:val="26"/>
          <w:lang w:val="vi-VN"/>
        </w:rPr>
        <w:t xml:space="preserve"> vi phạm trong lĩnh vực cạnh tranh có mức phạt tiền tương đối cao (tối đa 10% tổng doanh thu của doanh nghiệp vi phạm trên thị trường liên quan) và có thể áp dụng các biện pháp khắc phục hậu quả nghiêm khắc như buộc chia tách doanh nghiệp được hình thành sau tập trung kinh tế, buộc cơ cấu lại doanh nghiệp có vị trí thống lĩnh thị trường, vị trí độc quyền… </w:t>
      </w:r>
    </w:p>
    <w:p w14:paraId="70EB732B" w14:textId="065C11DE"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
          <w:i/>
          <w:iCs/>
          <w:noProof/>
          <w:color w:val="000000" w:themeColor="text1"/>
          <w:sz w:val="26"/>
          <w:szCs w:val="26"/>
          <w:lang w:val="vi-VN"/>
        </w:rPr>
        <w:t>Thứ hai,</w:t>
      </w:r>
      <w:r w:rsidRPr="00ED5E38">
        <w:rPr>
          <w:bCs/>
          <w:noProof/>
          <w:color w:val="000000" w:themeColor="text1"/>
          <w:sz w:val="26"/>
          <w:szCs w:val="26"/>
          <w:lang w:val="vi-VN"/>
        </w:rPr>
        <w:t xml:space="preserve"> vi phạm pháp luật cạnh tranh được xử lý nghiêm khắc thông qua quy trình tố tụng chặt chẽ</w:t>
      </w:r>
      <w:r w:rsidR="00041E29" w:rsidRPr="00ED5E38">
        <w:rPr>
          <w:bCs/>
          <w:noProof/>
          <w:color w:val="000000" w:themeColor="text1"/>
          <w:sz w:val="26"/>
          <w:szCs w:val="26"/>
          <w:lang w:val="vi-VN"/>
        </w:rPr>
        <w:t>.</w:t>
      </w:r>
      <w:r w:rsidRPr="00ED5E38">
        <w:rPr>
          <w:bCs/>
          <w:noProof/>
          <w:color w:val="000000" w:themeColor="text1"/>
          <w:sz w:val="26"/>
          <w:szCs w:val="26"/>
          <w:lang w:val="vi-VN"/>
        </w:rPr>
        <w:t xml:space="preserve"> </w:t>
      </w:r>
    </w:p>
    <w:p w14:paraId="13AE1C94"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Với tính chất phức tạp, mức độ tác động sâu rộng và hình thức, mức độ xử lý nghiêm khắc, hành vi vi phạm pháp luật về cạnh tranh được xử lý thông qua quy trình tố tụng chặt chẽ, gồm điều tra với thời hạn tương đối dài; lập hồ sơ vụ việc cạnh tranh, báo cáo điều tra, kết luận điều tra; mở phiên điều trần (đối với vụ việc hạn chế cạnh tranh) và ra quyết định xử lý vụ việc cạnh tranh, khác với quy trình xử lý các vi phạm hành chính thông thường khác. </w:t>
      </w:r>
    </w:p>
    <w:p w14:paraId="198B193C" w14:textId="77777777" w:rsidR="009C4936" w:rsidRPr="00ED5E38" w:rsidRDefault="009C4936"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 xml:space="preserve">Khoản 1 Điều 110 Luật Cạnh tranh quy định về nguyên tắc xử lý vi phạm, hình thức xử lý vi phạm và biện pháp khắc phục hậu quả vi phạm pháp luật về cạnh tranh quy định: </w:t>
      </w:r>
      <w:r w:rsidRPr="00ED5E38">
        <w:rPr>
          <w:bCs/>
          <w:i/>
          <w:noProof/>
          <w:color w:val="000000" w:themeColor="text1"/>
          <w:sz w:val="26"/>
          <w:szCs w:val="26"/>
          <w:lang w:val="vi-VN"/>
        </w:rPr>
        <w:t>“1. Tổ chức, cá nhân có hành vi vi phạm pháp luật về cạnh tranh thì tuỳ theo tính chất, mức độ vi phạm mà bị xử lý kỷ luật,</w:t>
      </w:r>
      <w:r w:rsidRPr="00ED5E38">
        <w:rPr>
          <w:b/>
          <w:i/>
          <w:noProof/>
          <w:color w:val="000000" w:themeColor="text1"/>
          <w:sz w:val="26"/>
          <w:szCs w:val="26"/>
          <w:lang w:val="vi-VN"/>
        </w:rPr>
        <w:t xml:space="preserve"> </w:t>
      </w:r>
      <w:r w:rsidRPr="00ED5E38">
        <w:rPr>
          <w:bCs/>
          <w:i/>
          <w:noProof/>
          <w:color w:val="000000" w:themeColor="text1"/>
          <w:sz w:val="26"/>
          <w:szCs w:val="26"/>
          <w:lang w:val="vi-VN"/>
        </w:rPr>
        <w:t>xử phạt vi phạm hành chính hoặc bị truy cứu trách nhiệm hình sự; nếu gây thiệt hại đến lợi ích của Nhà nước, quyền và lợi ích hợp pháp của tổ chức, cá nhân thì phải bồi thường thiệt hại theo quy định của pháp luật”</w:t>
      </w:r>
      <w:r w:rsidRPr="00ED5E38">
        <w:rPr>
          <w:bCs/>
          <w:iCs/>
          <w:noProof/>
          <w:color w:val="000000" w:themeColor="text1"/>
          <w:sz w:val="26"/>
          <w:szCs w:val="26"/>
          <w:lang w:val="vi-VN"/>
        </w:rPr>
        <w:t>.</w:t>
      </w:r>
    </w:p>
    <w:p w14:paraId="0853C082" w14:textId="77777777" w:rsidR="009C4936" w:rsidRPr="00ED5E38" w:rsidRDefault="009C4936"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Đồng thời, Luật Xử lý vi phạm hành chính hiện nay chỉ quy định áp dụng pháp luật cạnh tranh đối với mức phạt tiền tối đa và thẩm quyền xử phạt đối với hành vi thỏa thuận hạn chế cạnh tranh, lạm dụng vị trí thống lĩnh thị trường, lạm dụng vị trí độc quyền, tập trung kinh tế, cạnh tranh không lành mạnh (tại khoản 3 Điều 24 và điểm l khoản 1 Điều 37a Luật Xử lý vi phạm hành chính) mà không loại trừ việc áp dụng quy định liên quan đến quy trình, thủ tục xử lý vụ việc cạnh tranh theo quy định của Luật Cạnh tranh.</w:t>
      </w:r>
    </w:p>
    <w:p w14:paraId="100CE710" w14:textId="77777777" w:rsidR="009C4936" w:rsidRPr="00ED5E38" w:rsidRDefault="009C4936" w:rsidP="00ED5E38">
      <w:pPr>
        <w:spacing w:before="120" w:after="120" w:line="340" w:lineRule="exact"/>
        <w:ind w:firstLine="720"/>
        <w:jc w:val="both"/>
        <w:rPr>
          <w:bCs/>
          <w:noProof/>
          <w:color w:val="000000" w:themeColor="text1"/>
          <w:sz w:val="26"/>
          <w:szCs w:val="26"/>
          <w:lang w:val="vi-VN"/>
        </w:rPr>
      </w:pPr>
      <w:r w:rsidRPr="00ED5E38">
        <w:rPr>
          <w:bCs/>
          <w:iCs/>
          <w:noProof/>
          <w:color w:val="000000" w:themeColor="text1"/>
          <w:sz w:val="26"/>
          <w:szCs w:val="26"/>
          <w:lang w:val="vi-VN"/>
        </w:rPr>
        <w:t xml:space="preserve">Tuy nhiên, </w:t>
      </w:r>
      <w:r w:rsidRPr="00ED5E38">
        <w:rPr>
          <w:bCs/>
          <w:noProof/>
          <w:color w:val="000000" w:themeColor="text1"/>
          <w:sz w:val="26"/>
          <w:szCs w:val="26"/>
          <w:lang w:val="vi-VN"/>
        </w:rPr>
        <w:t>việc giải quyết, xử lý vi phạm đối với các vi phạm quy định thỏa thuận hạn chế cạnh tranh, lạm dụng vị trí thống lĩnh thị trường, lạm dụng vị trí độc quyền, tập trung kinh tế, cạnh tranh không lành mạnh có những đặc thù riêng, khác biệt so với các vi phạm hành chính thông thường khác, như:</w:t>
      </w:r>
    </w:p>
    <w:p w14:paraId="5A090E41" w14:textId="77777777" w:rsidR="009C4936" w:rsidRPr="00ED5E38" w:rsidRDefault="009C4936" w:rsidP="00ED5E38">
      <w:pPr>
        <w:widowControl w:val="0"/>
        <w:spacing w:before="120" w:after="120" w:line="340" w:lineRule="exact"/>
        <w:ind w:firstLine="720"/>
        <w:jc w:val="both"/>
        <w:rPr>
          <w:bCs/>
          <w:noProof/>
          <w:color w:val="000000" w:themeColor="text1"/>
          <w:sz w:val="26"/>
          <w:szCs w:val="26"/>
          <w:u w:val="single"/>
          <w:lang w:val="vi-VN"/>
        </w:rPr>
      </w:pPr>
      <w:r w:rsidRPr="00ED5E38">
        <w:rPr>
          <w:bCs/>
          <w:noProof/>
          <w:color w:val="000000" w:themeColor="text1"/>
          <w:sz w:val="26"/>
          <w:szCs w:val="26"/>
          <w:lang w:val="vi-VN"/>
        </w:rPr>
        <w:t>(i) Quá trình kết luận có hay không có hành vi vi phạm phải trải qua thời gian điều tra theo quy định của Luật, không thể xác định/kết luận ngay tại thời điểm phát hiện hành vi có dấu hiệu vi phạm (Điều 81 Luật Cạnh tranh quy định, thời hạn điều tra là 09 tháng và 03 tháng gia hạn đối với vụ việc hạn chế cạnh tranh; 90 ngày và 60 ngày gia hạn đối với vụ việc vi phạm quy định về tập trung kinh tế; 60 ngày và 45 ngày gia hạn đối với vụ việc cạnh tranh không lành mạnh).</w:t>
      </w:r>
      <w:r w:rsidRPr="00ED5E38">
        <w:rPr>
          <w:bCs/>
          <w:noProof/>
          <w:color w:val="000000" w:themeColor="text1"/>
          <w:sz w:val="26"/>
          <w:szCs w:val="26"/>
          <w:u w:val="single"/>
          <w:lang w:val="vi-VN"/>
        </w:rPr>
        <w:t xml:space="preserve"> </w:t>
      </w:r>
    </w:p>
    <w:p w14:paraId="2874AB5B"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(ii) Trong xử lý vi phạm pháp luật cạnh tranh, việc xử lý vụ việc cạnh tranh không nhất thiết dẫn đến kết quả là “xử phạt vi phạm hành chính” và không chỉ áp dụng biện </w:t>
      </w:r>
      <w:r w:rsidRPr="00ED5E38">
        <w:rPr>
          <w:bCs/>
          <w:noProof/>
          <w:color w:val="000000" w:themeColor="text1"/>
          <w:sz w:val="26"/>
          <w:szCs w:val="26"/>
          <w:lang w:val="vi-VN"/>
        </w:rPr>
        <w:lastRenderedPageBreak/>
        <w:t xml:space="preserve">pháp xử phạt vi phạm hành chính do trong quá trình xử lý vụ việc cạnh tranh, Chủ tịch Ủy ban Cạnh tranh Quốc gia, Hội đồng xử lý vụ việc hạn chế cạnh tranh có thể: </w:t>
      </w:r>
    </w:p>
    <w:p w14:paraId="1EDE9070"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 Ra quyết định đình chỉ giải quyết vụ việc cạnh tranh theo quy định tại điểm c khoản 1 Điều 89, điểm c khoản 1 Điều 90 và khoản 3 Điều 91 Luật Cạnh tranh trong các trường hợp được quy định tại khoản 1 và 2 Điều 92 Luật Cạnh tranh, mà không ra quyết định xử lý vụ việc cạnh tranh; </w:t>
      </w:r>
    </w:p>
    <w:p w14:paraId="5B57CC03"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 Kết luận không có hành vi vi phạm (tại quyết định xử lý vụ việc cạnh tranh) dựa trên kết quả điều tra hoặc ý kiến, tranh luận của các bên tại phiên điều trần, do đó, không áp dụng biện pháp xử phạt vi phạm hành chính; </w:t>
      </w:r>
    </w:p>
    <w:p w14:paraId="523A7930"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Áp dụng hoặc đề nghị cơ quan có thẩm quyền áp dụng những biện pháp khác (ngoài biện pháp xử phạt vi phạm hành chính) mang tính vĩ mô, phù hợp với quy định của pháp luật nhằm ngăn ngừa nguy cơ xảy ra hành vi vi phạm pháp luật cạnh tranh tương tự trong tương lai, chẳng hạn, kiến nghị sửa đổi, bổ sung văn bản quy phạm pháp luật; điều chỉnh cơ chế, chính sách nhằm tránh tạo ra rào cản gia nhập, mở rộng thị trường, tránh tạo vị thế độc quyền cho một doanh nghiệp nhất định nhằm thúc đẩy cạnh tranh công bằng, lành mạnh trên thị trường.</w:t>
      </w:r>
    </w:p>
    <w:p w14:paraId="28480812"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Trường hợp ban hành quyết định xử lý vụ việc cạnh tranh, khoản 1 Điều 94 Luật Cạnh tranh quy định quyết định xử lý vụ việc cạnh tranh phải bao gồm </w:t>
      </w:r>
      <w:r w:rsidRPr="00ED5E38">
        <w:rPr>
          <w:bCs/>
          <w:i/>
          <w:iCs/>
          <w:noProof/>
          <w:color w:val="000000" w:themeColor="text1"/>
          <w:sz w:val="26"/>
          <w:szCs w:val="26"/>
          <w:lang w:val="vi-VN"/>
        </w:rPr>
        <w:t>“kết luận xử lý vụ việc”</w:t>
      </w:r>
      <w:r w:rsidRPr="00ED5E38">
        <w:rPr>
          <w:bCs/>
          <w:noProof/>
          <w:color w:val="000000" w:themeColor="text1"/>
          <w:sz w:val="26"/>
          <w:szCs w:val="26"/>
          <w:lang w:val="vi-VN"/>
        </w:rPr>
        <w:t xml:space="preserve">. Trong khi đó, kết luận xử lý vụ việc của Chủ tịch Ủy ban Cạnh tranh Quốc gia, Hội đồng xử lý vụ việc cạnh tranh đã có quy định rõ các hình thức xử phạt, mức phạt và biện pháp khắc phục hậu quả (nếu có), tương tự như nội dung tại quyết định xử phạt vi phạm hành chính. </w:t>
      </w:r>
    </w:p>
    <w:p w14:paraId="6E6A6803"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Mặt khác, theo quy định về trình tự, thủ tục điều tra và xử lý vụ việc cạnh tranh tại mục 4 Chương VIII Luật Cạnh tranh, Chủ tịch Ủy ban Cạnh tranh Quốc gia ra quyết định xử lý vụ việc cạnh tranh trên cơ sở hồ sơ vụ việc, báo cáo điều tra và kết luận điều tra. Đối với các vụ việc cạnh tranh, việc xác minh tình tiết vi phạm đã được thực hiện trong nhiều giai đoạn tố tụng cạnh tranh (giai đoạn điều tra, giai đoạn xử lý vụ việc).</w:t>
      </w:r>
    </w:p>
    <w:p w14:paraId="03253441"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Như vậy, đối với những vụ việc cạnh tranh mà kết quả điều tra, xử lý đã xác định có hành vi vi phạm, thì quá trình xử lý vụ việc cạnh tranh đã bao gồm cả nội dung xử phạt vi phạm hành chính trong lĩnh vực cạnh tranh. Do đó, nếu tách bạch quy trình xử phạt vi phạm hành chính theo quy định của pháp luật về xử lý vi phạm hành chính với quy trình xử lý vụ việc cạnh tranh theo pháp luật về cạnh tranh sẽ phát sinh thêm thủ tục và không cần thiết.</w:t>
      </w:r>
    </w:p>
    <w:p w14:paraId="45524A26"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Bên cạnh đó, Luật Cạnh tranh và Luật Xử lý vi phạm hành chính có sự khác biệt nhau về phạm vi không gian áp dụng luật, mà nếu không tách bạch và bắt buộc áp dụng quy trình xử phạt vi phạm hành chính trong lĩnh vực cạnh tranh theo quy định của pháp luật về xử lý vi phạm hành chính sẽ dẫn đến khoảng trống pháp lý trong một số trường hợp, có thể gây tổn hại cho thị trường Việt Nam, lợi ích của doanh nghiệp và Nhà nước. Cụ thể: </w:t>
      </w:r>
    </w:p>
    <w:p w14:paraId="00F377EA"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lastRenderedPageBreak/>
        <w:t xml:space="preserve">- Điều 1 Luật Cạnh tranh quy định Luật này điều chỉnh đối với hành vi hạn chế cạnh tranh, tập trung kinh tế gây tác động hoặc có khả năng gây tác động hạn chế cạnh tranh đến thị trường Việt Nam. Như vậy, Luật Cạnh tranh Việt Nam điều chỉnh hành vi hạn chế cạnh tranh, tập trung kinh tế theo nguyên tắc “tác động” đến thị trường Việt Nam, cho dù hành vi vi phạm đó xảy ra trong phạm vi lãnh thổ Việt Nam hay ngoài lãnh thổ Việt Nam. Khoản 3 Điều 2 Luật Cạnh tranh quy định đối tượng áp dụng của Luật này bao gồm cả </w:t>
      </w:r>
      <w:r w:rsidRPr="00ED5E38">
        <w:rPr>
          <w:bCs/>
          <w:i/>
          <w:iCs/>
          <w:noProof/>
          <w:color w:val="000000" w:themeColor="text1"/>
          <w:sz w:val="26"/>
          <w:szCs w:val="26"/>
          <w:lang w:val="vi-VN"/>
        </w:rPr>
        <w:t>“cơ quan, tổ chức, cá nhân trong nước và nước ngoài có liên quan”</w:t>
      </w:r>
      <w:r w:rsidRPr="00ED5E38">
        <w:rPr>
          <w:bCs/>
          <w:noProof/>
          <w:color w:val="000000" w:themeColor="text1"/>
          <w:sz w:val="26"/>
          <w:szCs w:val="26"/>
          <w:lang w:val="vi-VN"/>
        </w:rPr>
        <w:t xml:space="preserve">. </w:t>
      </w:r>
    </w:p>
    <w:p w14:paraId="174C09E7" w14:textId="77777777" w:rsidR="009C4936" w:rsidRPr="00ED5E38" w:rsidRDefault="009C4936" w:rsidP="00ED5E38">
      <w:pPr>
        <w:widowControl w:val="0"/>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 Điểm c khoản 1 Điều 5 Luật Xử lý vi phạm hành chính quy định đối tượng bị xử phạt vi phạm hành chính theo quy định của Luật này bao gồm: </w:t>
      </w:r>
      <w:r w:rsidRPr="00ED5E38">
        <w:rPr>
          <w:bCs/>
          <w:i/>
          <w:iCs/>
          <w:noProof/>
          <w:color w:val="000000" w:themeColor="text1"/>
          <w:sz w:val="26"/>
          <w:szCs w:val="26"/>
          <w:lang w:val="vi-VN"/>
        </w:rPr>
        <w:t>“Cá nhân, tổ chức nước ngoài vi phạm hành chính trong phạm vi lãnh thổ, vùng tiếp giáp lãnh hải, vùng đặc quyền kinh tế và thềm lục địa của nước Cộng hoà xã hội chủ nghĩa Việt Nam; trên tàu bay mang quốc tịch Việt Nam, tàu biển mang cờ quốc tịch Việt Nam thì bị xử phạt vi phạm hành chính theo quy định của pháp luật Việt Nam, trừ trường hợp điều ước quốc tế mà nước Cộng hoà xã hội chủ nghĩa Việt Nam là thành viên có quy định khác.”</w:t>
      </w:r>
    </w:p>
    <w:p w14:paraId="5B2497BE" w14:textId="77777777" w:rsidR="009C4936" w:rsidRPr="00ED5E38" w:rsidRDefault="009C4936" w:rsidP="00ED5E38">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Như vậy, trường hợp các tổ chức, cá nhân nước ngoài thực hiện hành vi hạn chế cạnh tranh, tập trung kinh tế ngoài lãnh thổ Việt Nam nhưng gây tác động hoặc có khả năng gây tác động đến thị trường Việt Nam không thuộc đối tượng áp dụng của Luật Xử lý vi phạm hành chính, nhưng vẫn thuộc đối tượng áp dụng của Luật Cạnh tranh.</w:t>
      </w:r>
    </w:p>
    <w:p w14:paraId="25DE3B8A" w14:textId="77777777" w:rsidR="009C4936" w:rsidRPr="00ED5E38" w:rsidRDefault="009C4936" w:rsidP="00ED5E38">
      <w:pPr>
        <w:spacing w:before="120" w:after="120" w:line="340" w:lineRule="exact"/>
        <w:ind w:firstLine="720"/>
        <w:jc w:val="both"/>
        <w:rPr>
          <w:bCs/>
          <w:iCs/>
          <w:noProof/>
          <w:color w:val="000000" w:themeColor="text1"/>
          <w:sz w:val="26"/>
          <w:szCs w:val="26"/>
          <w:lang w:val="vi-VN"/>
        </w:rPr>
      </w:pPr>
      <w:r w:rsidRPr="00ED5E38">
        <w:rPr>
          <w:b/>
          <w:i/>
          <w:noProof/>
          <w:color w:val="000000" w:themeColor="text1"/>
          <w:sz w:val="26"/>
          <w:szCs w:val="26"/>
          <w:lang w:val="vi-VN"/>
        </w:rPr>
        <w:t>Thứ ba,</w:t>
      </w:r>
      <w:r w:rsidRPr="00ED5E38">
        <w:rPr>
          <w:bCs/>
          <w:iCs/>
          <w:noProof/>
          <w:color w:val="000000" w:themeColor="text1"/>
          <w:sz w:val="26"/>
          <w:szCs w:val="26"/>
          <w:lang w:val="vi-VN"/>
        </w:rPr>
        <w:t xml:space="preserve"> một số quy định khác giữa Luật Cạnh tranh và Luật xử lý vi phạm hành chính chưa thực sự đồng bộ, thống nhất:</w:t>
      </w:r>
    </w:p>
    <w:p w14:paraId="599EE151" w14:textId="77777777" w:rsidR="009C4936" w:rsidRPr="00ED5E38" w:rsidRDefault="009C4936" w:rsidP="00ED5E38">
      <w:pPr>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 Về thời hiệu xử phạt vi phạm hành chính trong lĩnh vực cạnh tranh:</w:t>
      </w:r>
    </w:p>
    <w:p w14:paraId="3F36C581" w14:textId="77777777" w:rsidR="009C4936" w:rsidRPr="00ED5E38" w:rsidRDefault="009C4936" w:rsidP="00ED5E38">
      <w:pPr>
        <w:spacing w:before="120" w:after="120" w:line="340" w:lineRule="exact"/>
        <w:ind w:firstLine="720"/>
        <w:jc w:val="both"/>
        <w:rPr>
          <w:iCs/>
          <w:noProof/>
          <w:color w:val="000000" w:themeColor="text1"/>
          <w:sz w:val="26"/>
          <w:szCs w:val="26"/>
          <w:lang w:val="vi-VN"/>
        </w:rPr>
      </w:pPr>
      <w:r w:rsidRPr="00ED5E38">
        <w:rPr>
          <w:bCs/>
          <w:iCs/>
          <w:noProof/>
          <w:color w:val="000000" w:themeColor="text1"/>
          <w:sz w:val="26"/>
          <w:szCs w:val="26"/>
          <w:lang w:val="vi-VN"/>
        </w:rPr>
        <w:t xml:space="preserve">Theo quy định tại điểm a khoản 1 Điều 6 Luật Xử lý vi phạm hành chính thì thời hiệu xử phạt vi phạm hành chính trong lĩnh vực cạnh tranh là 01 năm. Trong khi đó, thời hạn tổ chức, cá nhân có quyền thực hiện khiếu nại vụ việc cạnh tranh đến Ủy ban Cạnh tranh Quốc gia là 03 năm kể từ ngày hành vi có dấu hiệu vi phạm pháp luật về cạnh tranh được thực hiện (khoản 2 Điều 77 Luật Cạnh tranh) và Ủy ban Cạnh tranh Quốc gia phát hiện hành vi có dấu hiệu vi phạm pháp luật về cạnh tranh trong thời hạn 03 năm kể từ ngày hành vi có dấu hiệu vi phạm pháp luật về cạnh tranh được thực hiện (khoản 2 Điều 80 Luật Cạnh tranh). </w:t>
      </w:r>
      <w:r w:rsidRPr="00ED5E38">
        <w:rPr>
          <w:iCs/>
          <w:noProof/>
          <w:color w:val="000000" w:themeColor="text1"/>
          <w:sz w:val="26"/>
          <w:szCs w:val="26"/>
          <w:lang w:val="vi-VN"/>
        </w:rPr>
        <w:t>Tuy nhiên, sự khác biệt này dẫn đến tình trạng trong thực tiễn có thể phát sinh các vụ việc cạnh tranh được khiếu nại, điều tra hợp pháp theo Luật Cạnh tranh nhưng lại không thể áp dụng chế tài hành chính do đã hết thời hiệu xử phạt theo Luật Xử lý vi phạm hành chính.</w:t>
      </w:r>
    </w:p>
    <w:p w14:paraId="3343C0FA" w14:textId="77777777" w:rsidR="009C4936" w:rsidRPr="00A20AD9" w:rsidRDefault="009C4936" w:rsidP="00ED5E38">
      <w:pPr>
        <w:tabs>
          <w:tab w:val="right" w:leader="dot" w:pos="7920"/>
        </w:tabs>
        <w:spacing w:before="120" w:after="120" w:line="340" w:lineRule="exact"/>
        <w:ind w:firstLine="720"/>
        <w:jc w:val="both"/>
        <w:rPr>
          <w:bCs/>
          <w:noProof/>
          <w:color w:val="000000" w:themeColor="text1"/>
          <w:spacing w:val="-2"/>
          <w:sz w:val="26"/>
          <w:szCs w:val="26"/>
          <w:lang w:val="vi-VN"/>
        </w:rPr>
      </w:pPr>
      <w:r w:rsidRPr="00A20AD9">
        <w:rPr>
          <w:bCs/>
          <w:noProof/>
          <w:color w:val="000000" w:themeColor="text1"/>
          <w:spacing w:val="-2"/>
          <w:sz w:val="26"/>
          <w:szCs w:val="26"/>
          <w:lang w:val="vi-VN"/>
        </w:rPr>
        <w:t>- Tố tụng cạnh tranh đã thiết lập một hệ thống quy định nhằm bảo đảm quyền và lợi ích hợp pháp của các tổ chức, cá nhân tham gia tố tụng (bao gồm doanh nghiệp bị điều tra, bên khiếu nại và các bên liên quan) thể hiện xuyên suốt từ khâu điều tra đến xử lý và giải quyết khiếu nại mà Luật xử lý vi phạm hành chính không có quy định, cụ thể như:</w:t>
      </w:r>
    </w:p>
    <w:p w14:paraId="494F0BDD" w14:textId="65AE3A22" w:rsidR="009C4936" w:rsidRPr="00ED5E38" w:rsidRDefault="009C4936" w:rsidP="00ED5E38">
      <w:pPr>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 Quy định bảo đảm quyền của tổ chức, cá nhân được khiếu nại, cung cấp thông tin, đề nghị điều tra đối với hành vi có dấu hiệu vi phạm pháp luật cạnh tranh. </w:t>
      </w:r>
    </w:p>
    <w:p w14:paraId="7886FD57" w14:textId="67F923A9" w:rsidR="009C4936" w:rsidRPr="00ED5E38" w:rsidRDefault="009C4936" w:rsidP="00ED5E38">
      <w:pPr>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lastRenderedPageBreak/>
        <w:t>+ Quy định bảo đảm quyền tham gia tố tụng và quyền tự bảo vệ: tố tụng cạnh tranh ghi nhận quyền của các bên liên quan trong việc được thông báo, giải trình, cung cấp chứng cứ và tham gia vào các giai đoạn tố tụng. Doanh nghiệp có quyền tiếp cận hồ sơ vụ việc (trừ thông tin thuộc diện không công khai), ủy quyền cho người đại diện hợp pháp hoặc người bảo vệ quyền và lợi ích hợp pháp tham gia tố tụng. Đồng thời, doanh nghiệp chỉ bị xử lý khi có kết luận dựa trên quá trình điều tra, thu thập và đánh giá chứng cứ theo đúng trình tự, thủ tục luật định.</w:t>
      </w:r>
    </w:p>
    <w:p w14:paraId="6DB1ED8F" w14:textId="5BD9E728" w:rsidR="009C4936" w:rsidRPr="00ED5E38" w:rsidRDefault="009C4936" w:rsidP="00ED5E38">
      <w:pPr>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Quy định bảo đảm tính khách quan, minh bạch trong quá trình xử lý vụ việc: Việc phân định tương đối rõ ràng giữa chức năng điều tra và chức năng ra quyết định xử lý trong tố tụng cạnh tranh có tác động tích cực trong việc bảo đảm tính khách quan của quá trình giải quyết vụ việc. Các quyết định xử lý phải được ban hành trên căn cứ pháp luật, chứng cứ, phân tích kinh tế và điều kiện thị trường cụ thể.</w:t>
      </w:r>
    </w:p>
    <w:p w14:paraId="5DF389FF" w14:textId="77777777" w:rsidR="009C4936" w:rsidRPr="00ED5E38" w:rsidRDefault="009C4936" w:rsidP="00FD5E31">
      <w:pPr>
        <w:spacing w:before="120" w:after="120" w:line="340" w:lineRule="exact"/>
        <w:jc w:val="both"/>
        <w:rPr>
          <w:bCs/>
          <w:noProof/>
          <w:color w:val="000000" w:themeColor="text1"/>
          <w:sz w:val="26"/>
          <w:szCs w:val="26"/>
          <w:lang w:val="vi-VN"/>
        </w:rPr>
      </w:pPr>
      <w:r w:rsidRPr="00ED5E38">
        <w:rPr>
          <w:bCs/>
          <w:noProof/>
          <w:color w:val="000000" w:themeColor="text1"/>
          <w:sz w:val="26"/>
          <w:szCs w:val="26"/>
          <w:lang w:val="vi-VN"/>
        </w:rPr>
        <w:tab/>
        <w:t>+ Quy định bảo đảm quyền và lợi ích hợp pháp khác như quyền khiếu nại, khởi kiện, được bảo vệ bí mật kinh doanh và thông tin của doanh nghiệp,…</w:t>
      </w:r>
    </w:p>
    <w:p w14:paraId="6301F000" w14:textId="77777777" w:rsidR="009C4936" w:rsidRPr="00ED5E38" w:rsidRDefault="009C4936" w:rsidP="00ED5E38">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Bên cạnh đó, việc </w:t>
      </w:r>
      <w:r w:rsidRPr="00ED5E38">
        <w:rPr>
          <w:noProof/>
          <w:color w:val="000000" w:themeColor="text1"/>
          <w:sz w:val="26"/>
          <w:szCs w:val="26"/>
          <w:lang w:val="vi-VN"/>
        </w:rPr>
        <w:t>áp dụng đồng thời cả hai quy trình về tố tụng cạnh tranh và xử lý vi phạm hành chính đối với một hành vi vi phạm hành chính về cạnh tranh như hiện hành sẽ gây tốn kém về chi phí, thời gian cũng như công sức của tổ chức, cá nhân, doanh nghiệp và cả các cơ quan nhà nước trong thực hiện quy trình xử lý vi phạm hành chính đối với các hành vi vi phạm quy định về thỏa thuận hạn chế cạnh tranh; lạm dụng vị trí thống lĩnh thị trường, lạm dụng vị trí độc quyền;</w:t>
      </w:r>
      <w:r w:rsidRPr="00ED5E38">
        <w:rPr>
          <w:noProof/>
          <w:color w:val="000000" w:themeColor="text1"/>
          <w:sz w:val="26"/>
          <w:szCs w:val="26"/>
          <w:shd w:val="clear" w:color="auto" w:fill="FFFFFF"/>
          <w:lang w:val="vi-VN"/>
        </w:rPr>
        <w:t xml:space="preserve"> </w:t>
      </w:r>
      <w:r w:rsidRPr="00ED5E38">
        <w:rPr>
          <w:noProof/>
          <w:color w:val="000000" w:themeColor="text1"/>
          <w:sz w:val="26"/>
          <w:szCs w:val="26"/>
          <w:lang w:val="vi-VN"/>
        </w:rPr>
        <w:t>tập trung kinh tế;</w:t>
      </w:r>
      <w:r w:rsidRPr="00ED5E38">
        <w:rPr>
          <w:noProof/>
          <w:color w:val="000000" w:themeColor="text1"/>
          <w:sz w:val="26"/>
          <w:szCs w:val="26"/>
          <w:shd w:val="clear" w:color="auto" w:fill="FFFFFF"/>
          <w:lang w:val="vi-VN"/>
        </w:rPr>
        <w:t xml:space="preserve"> </w:t>
      </w:r>
      <w:r w:rsidRPr="00ED5E38">
        <w:rPr>
          <w:noProof/>
          <w:color w:val="000000" w:themeColor="text1"/>
          <w:sz w:val="26"/>
          <w:szCs w:val="26"/>
          <w:lang w:val="vi-VN"/>
        </w:rPr>
        <w:t>cạnh tranh không lành mạnh do sau khi thực hiện quy trình tố tụng cạnh tranh và có quyết định xử lý vụ việc cạnh tranh, các tổ chức, cá nhân, các doanh nghiệp và cả các cơ quan có thẩm quyền xử phạt tiếp tục thực hiện quy trình xử phạt vi phạm hành chính, trong khi việc thực hiện quy trình tố tụng cạnh tranh theo quy định của Luật Cạnh tranh đã đủ đảm bảo phát hiện và xử lý cũng như bảo đảm các quyền và lợi ích hợp pháp của tổ chức, cá nhân, doanh nghiệp đối với hành vi vi phạm hành chính về cạnh tranh</w:t>
      </w:r>
      <w:r w:rsidRPr="00ED5E38">
        <w:rPr>
          <w:bCs/>
          <w:noProof/>
          <w:color w:val="000000" w:themeColor="text1"/>
          <w:sz w:val="26"/>
          <w:szCs w:val="26"/>
          <w:lang w:val="vi-VN"/>
        </w:rPr>
        <w:t>.</w:t>
      </w:r>
    </w:p>
    <w:p w14:paraId="68E04B05" w14:textId="66D82DA1" w:rsidR="00835332" w:rsidRPr="00FD5E31" w:rsidRDefault="00835332" w:rsidP="0027142B">
      <w:pPr>
        <w:pStyle w:val="Heading2"/>
      </w:pPr>
      <w:r w:rsidRPr="00FD5E31">
        <w:t xml:space="preserve">2.1.3.3. </w:t>
      </w:r>
      <w:r w:rsidRPr="00FD5E31">
        <w:rPr>
          <w:kern w:val="36"/>
        </w:rPr>
        <w:t xml:space="preserve">Vấn đề </w:t>
      </w:r>
      <w:r w:rsidR="004F3757" w:rsidRPr="00FD5E31">
        <w:rPr>
          <w:kern w:val="36"/>
        </w:rPr>
        <w:t>3</w:t>
      </w:r>
      <w:r w:rsidRPr="00FD5E31">
        <w:rPr>
          <w:kern w:val="36"/>
        </w:rPr>
        <w:t>: Sửa đổi, bổ sung</w:t>
      </w:r>
      <w:r w:rsidRPr="00FD5E31">
        <w:t xml:space="preserve"> một số quy định liên quan đến thủ tục hành chính trong thực thi pháp luật cạnh tranh nhằm đảm bảo tinh gọn, rõ ràng, minh bạch</w:t>
      </w:r>
    </w:p>
    <w:p w14:paraId="5B4D3A9C" w14:textId="77777777" w:rsidR="00835332" w:rsidRPr="00ED5E38" w:rsidRDefault="00835332" w:rsidP="00FD5E31">
      <w:pPr>
        <w:pStyle w:val="ListParagraph"/>
        <w:numPr>
          <w:ilvl w:val="1"/>
          <w:numId w:val="19"/>
        </w:numPr>
        <w:tabs>
          <w:tab w:val="left" w:pos="993"/>
        </w:tabs>
        <w:spacing w:before="120" w:after="120" w:line="340" w:lineRule="exact"/>
        <w:ind w:left="0" w:firstLine="720"/>
        <w:jc w:val="both"/>
        <w:outlineLvl w:val="2"/>
        <w:rPr>
          <w:rFonts w:ascii="Times New Roman" w:eastAsia="Times New Roman" w:hAnsi="Times New Roman"/>
          <w:i/>
          <w:iCs/>
          <w:noProof/>
          <w:color w:val="000000" w:themeColor="text1"/>
          <w:sz w:val="26"/>
          <w:szCs w:val="26"/>
          <w:lang w:val="vi-VN"/>
        </w:rPr>
      </w:pPr>
      <w:r w:rsidRPr="00ED5E38">
        <w:rPr>
          <w:rFonts w:ascii="Times New Roman" w:eastAsia="Times New Roman" w:hAnsi="Times New Roman"/>
          <w:i/>
          <w:iCs/>
          <w:noProof/>
          <w:color w:val="000000" w:themeColor="text1"/>
          <w:sz w:val="26"/>
          <w:szCs w:val="26"/>
          <w:lang w:val="vi-VN"/>
        </w:rPr>
        <w:t>Về thủ tục đề nghị hưởng miễn trừ đối với thỏa thuận hạn chế cạnh tranh bị cấm</w:t>
      </w:r>
    </w:p>
    <w:p w14:paraId="3CCE4877" w14:textId="77777777" w:rsidR="00835332" w:rsidRPr="00ED5E38" w:rsidRDefault="00835332" w:rsidP="00FD5E31">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Khoản 2 Điều 15 Luật Cạnh tranh quy định hồ sơ đề nghị hưởng miễn trừ đối với thỏa thuận hạn chế cạnh tranh bị cấm bao gồm:</w:t>
      </w:r>
    </w:p>
    <w:p w14:paraId="50BED63F"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“a) Đơn theo mẫu do Ủy ban Cạnh tranh Quốc gia ban hành;</w:t>
      </w:r>
    </w:p>
    <w:p w14:paraId="442E00A2"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b) Dự thảo nội dung thỏa thuận giữa các bên;</w:t>
      </w:r>
    </w:p>
    <w:p w14:paraId="33DB2736"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c) Bản sao Giấy chứng nhận đăng ký doanh nghiệp hoặc văn bản tương đương của từng doanh nghiệp tham gia thỏa thuận hạn chế cạnh tranh bị cấm; bản sao Điều lệ của hiệp hội ngành, nghề đối với trường hợp thỏa thuận hạn chế cạnh tranh bị cấm có sự tham gia của hiệp hội ngành, nghề;</w:t>
      </w:r>
    </w:p>
    <w:p w14:paraId="797C0CB8"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lastRenderedPageBreak/>
        <w:t>d) Báo cáo tài chính của từng doanh nghiệp tham gia thỏa thuận hạn chế cạnh tranh bị cấm trong 02 năm liên tiếp liền kề trước năm nộp hồ sơ đề nghị hưởng miễn trừ hoặc báo cáo tài chính từ thời điểm thành lập đến thời điểm nộp hồ sơ đề nghị hưởng miễn trừ đối với doanh nghiệp mới thành lập có xác nhận của tổ chức kiểm toán theo quy định của pháp luật;</w:t>
      </w:r>
    </w:p>
    <w:p w14:paraId="2700E156"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đ) Báo cáo giải trình cụ thể việc đáp ứng quy định tại khoản 1 Điều 14 của Luật này kèm theo chứng cứ để chứng minh;</w:t>
      </w:r>
    </w:p>
    <w:p w14:paraId="67D168B2"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e) Văn bản ủy quyền của các bên tham gia thỏa thuận hạn chế cạnh tranh bị cấm cho bên đại diện (nếu có).</w:t>
      </w:r>
    </w:p>
    <w:p w14:paraId="67AA674D" w14:textId="77777777" w:rsidR="00835332" w:rsidRPr="00FD5E31" w:rsidRDefault="00835332" w:rsidP="00FD5E31">
      <w:pPr>
        <w:spacing w:before="120" w:after="120" w:line="340" w:lineRule="exact"/>
        <w:ind w:firstLine="720"/>
        <w:jc w:val="both"/>
        <w:rPr>
          <w:i/>
          <w:iCs/>
          <w:noProof/>
          <w:color w:val="000000" w:themeColor="text1"/>
          <w:sz w:val="26"/>
          <w:szCs w:val="26"/>
          <w:lang w:val="vi-VN"/>
        </w:rPr>
      </w:pPr>
      <w:r w:rsidRPr="00FD5E31">
        <w:rPr>
          <w:i/>
          <w:iCs/>
          <w:noProof/>
          <w:color w:val="000000" w:themeColor="text1"/>
          <w:sz w:val="26"/>
          <w:szCs w:val="26"/>
          <w:lang w:val="vi-VN"/>
        </w:rPr>
        <w:t>3. Doanh nghiệp nộp hồ sơ chịu trách nhiệm về tính trung thực của hồ sơ. Tài liệu trong hồ sơ bằng tiếng nước ngoài thì phải kèm theo bản dịch tiếng Việt.”</w:t>
      </w:r>
    </w:p>
    <w:p w14:paraId="22CB56F8" w14:textId="7AB2FE41" w:rsidR="00835332" w:rsidRPr="00FD5E31" w:rsidRDefault="00835332" w:rsidP="00FD5E31">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Khoản 2 Điều 18 Luật Cạnh tranh quy định:</w:t>
      </w:r>
      <w:r w:rsidRPr="00FD5E31">
        <w:rPr>
          <w:i/>
          <w:iCs/>
          <w:noProof/>
          <w:color w:val="000000" w:themeColor="text1"/>
          <w:sz w:val="26"/>
          <w:szCs w:val="26"/>
          <w:lang w:val="vi-VN"/>
        </w:rPr>
        <w:t>“2. Trong thời hạn 15 ngày kể từ ngày nhận được yêu cầu của Ủy ban Cạnh tranh Quốc gia về việc tham vấn ý kiến, cơ quan, tổ chức, cá nhân được tham vấn có trách nhiệm trả lời bằng văn bản và cung cấp thông tin, tài liệu có liên quan về nội dung được tham vấn.”</w:t>
      </w:r>
    </w:p>
    <w:p w14:paraId="6DD43F3C" w14:textId="77777777" w:rsidR="00835332" w:rsidRPr="00ED5E38" w:rsidRDefault="00835332" w:rsidP="00FD5E31">
      <w:pPr>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Quy định nêu trên có những vấn đề bất cập như sau:</w:t>
      </w:r>
    </w:p>
    <w:p w14:paraId="028AC428" w14:textId="7B6F6920" w:rsidR="00835332" w:rsidRPr="00ED5E38" w:rsidRDefault="00835332" w:rsidP="00FD5E31">
      <w:pPr>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nhất,</w:t>
      </w:r>
      <w:r w:rsidRPr="00ED5E38">
        <w:rPr>
          <w:noProof/>
          <w:color w:val="000000" w:themeColor="text1"/>
          <w:sz w:val="26"/>
          <w:szCs w:val="26"/>
          <w:lang w:val="vi-VN"/>
        </w:rPr>
        <w:t xml:space="preserve"> về yêu cầu “dự thảo nội dung thỏa thuận giữa các bên” trong hồ sơ đề nghị hưởng miễn trừ, quy định tại Khoản 2 Điều 15 Luật Cạnh tranh bộc lộ bất cập do chưa phù hợp với bản chất pháp lý và hình thức tồn tại của các thỏa thuận hạn chế cạnh tranh trong thực tiễn. Trên thực tế, các thỏa thuận hạn chế cạnh tranh hiếm khi tồn tại dưới dạng một thỏa thuận độc lập, mà chủ yếu được lồng ghép trong các hợp đồng kinh tế như hợp đồng phân phối, đại lý, nhượng quyền, hợp tác kỹ thuật hoặc logistics, dưới hình thức các điều khoản cụ thể gắn với tổng thể quyền và nghĩa vụ của các bên. Việc yêu cầu doanh nghiệp phải lập và nộp một “dự thảo thỏa thuận” riêng biệt buộc doanh nghiệp phải tách chiết một cách khiên cưỡng các điều khoản có yếu tố hạn chế cạnh tranh ra khỏi cấu trúc hợp đồng tổng thể, làm sai lệch bối cảnh kinh tế – pháp lý cần thiết để đánh giá đầy đủ tác động cạnh tranh. Bất cập này không chỉ gây khó khăn trong việc tuân thủ của doanh nghiệp mà còn tiềm ẩn nguy cơ đánh giá không chính xác tác động hạn chế cạnh tranh và lợi ích kinh tế </w:t>
      </w:r>
      <w:r w:rsidR="00FD5E31" w:rsidRPr="00FD5E31">
        <w:rPr>
          <w:noProof/>
          <w:color w:val="000000" w:themeColor="text1"/>
          <w:sz w:val="26"/>
          <w:szCs w:val="26"/>
          <w:lang w:val="vi-VN"/>
        </w:rPr>
        <w:t>-</w:t>
      </w:r>
      <w:r w:rsidR="00A20AD9" w:rsidRPr="00A20AD9">
        <w:rPr>
          <w:noProof/>
          <w:color w:val="000000" w:themeColor="text1"/>
          <w:sz w:val="26"/>
          <w:szCs w:val="26"/>
          <w:lang w:val="vi-VN"/>
        </w:rPr>
        <w:t xml:space="preserve"> </w:t>
      </w:r>
      <w:r w:rsidRPr="00ED5E38">
        <w:rPr>
          <w:noProof/>
          <w:color w:val="000000" w:themeColor="text1"/>
          <w:sz w:val="26"/>
          <w:szCs w:val="26"/>
          <w:lang w:val="vi-VN"/>
        </w:rPr>
        <w:t>kỹ thuật của thỏa thuận, qua đó làm giảm hiệu quả thực chất của cơ chế miễn trừ theo Luật Cạnh tranh.</w:t>
      </w:r>
    </w:p>
    <w:p w14:paraId="2093E09D" w14:textId="77777777" w:rsidR="00835332" w:rsidRPr="00ED5E38" w:rsidRDefault="00835332" w:rsidP="00FD5E31">
      <w:pPr>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hai,</w:t>
      </w:r>
      <w:r w:rsidRPr="00ED5E38">
        <w:rPr>
          <w:noProof/>
          <w:color w:val="000000" w:themeColor="text1"/>
          <w:sz w:val="26"/>
          <w:szCs w:val="26"/>
          <w:lang w:val="vi-VN"/>
        </w:rPr>
        <w:t xml:space="preserve"> đối với yêu cầu nộp bản sao Giấy chứng nhận đăng ký doanh nghiệp hoặc văn bản tương đương của từng doanh nghiệp tham gia thỏa thuận, cùng với bản sao Điều lệ của hiệp hội ngành, nghề trong trường hợp có sự tham gia của hiệp hội, quy định tại Khoản 2 Điều 15 Luật Cạnh tranh cho thấy chưa theo kịp các thay đổi trong pháp luật về đăng ký, quản lý và cung cấp thông tin pháp lý của doanh nghiệp và hiệp hội. Hiện nay, theo pháp luật về doanh nghiệp và đăng ký kinh doanh, các thông tin pháp lý cơ bản như tình trạng pháp lý, ngành nghề kinh doanh, người đại diện theo pháp luật đã được chuẩn hóa, số hóa và công khai trên Hệ thống thông tin quốc gia về đăng ký doanh nghiệp, đồng thời thường xuyên được cập nhật khi có thay đổi. Việc tiếp tục yêu cầu doanh nghiệp nộp bản sao Giấy chứng nhận đăng ký doanh nghiệp và Điều lệ </w:t>
      </w:r>
      <w:r w:rsidRPr="00ED5E38">
        <w:rPr>
          <w:noProof/>
          <w:color w:val="000000" w:themeColor="text1"/>
          <w:sz w:val="26"/>
          <w:szCs w:val="26"/>
          <w:lang w:val="vi-VN"/>
        </w:rPr>
        <w:lastRenderedPageBreak/>
        <w:t>hiệp hội dưới dạng giấy tờ trong hồ sơ đề nghị hưởng miễn trừ dẫn đến trùng lặp thông tin mà cơ quan nhà nước đã có sẵn, làm gia tăng chi phí tuân thủ không cần thiết và chưa phù hợp với xu hướng đơn giản hóa thủ tục hành chính và chuyển đổi số trong quản lý nhà nước. Bên cạnh đó, trong bối cảnh pháp luật liên quan thường xuyên được sửa đổi, bổ sung, quy định cứng về loại giấy tờ phải nộp có nguy cơ làm phát sinh mâu thuẫn hoặc lạc hậu về mặt kỹ thuật, ảnh hưởng đến tính thống nhất và đồng bộ của hệ thống pháp luật.</w:t>
      </w:r>
    </w:p>
    <w:p w14:paraId="641CB5B6" w14:textId="77777777" w:rsidR="00835332" w:rsidRPr="00ED5E38" w:rsidRDefault="00835332" w:rsidP="00FD5E31">
      <w:pPr>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ba,</w:t>
      </w:r>
      <w:r w:rsidRPr="00ED5E38">
        <w:rPr>
          <w:noProof/>
          <w:color w:val="000000" w:themeColor="text1"/>
          <w:sz w:val="26"/>
          <w:szCs w:val="26"/>
          <w:lang w:val="vi-VN"/>
        </w:rPr>
        <w:t xml:space="preserve"> các quy định tại Điều 15 và Điều 18 của Luật Cạnh tranh hiện hành chưa đảm bảo yêu cầu </w:t>
      </w:r>
      <w:r w:rsidRPr="00ED5E38">
        <w:rPr>
          <w:iCs/>
          <w:noProof/>
          <w:color w:val="000000" w:themeColor="text1"/>
          <w:sz w:val="26"/>
          <w:szCs w:val="26"/>
          <w:lang w:val="vi-VN"/>
        </w:rPr>
        <w:t>đơn giản hóa hồ sơ, trình tự, thủ tục thông báo, tăng cường sử dụng dữ liệu điện tử, chưa phù hợp với chủ trương cắt giảm, đơn giản hóa thủ tục hành chính của Chính phủ theo Nghị quyết số 66/2025/NQ-CP.</w:t>
      </w:r>
    </w:p>
    <w:p w14:paraId="3C73ED52" w14:textId="77777777" w:rsidR="00835332" w:rsidRPr="00ED5E38" w:rsidRDefault="00835332" w:rsidP="00FD5E31">
      <w:pPr>
        <w:pStyle w:val="ListParagraph"/>
        <w:numPr>
          <w:ilvl w:val="1"/>
          <w:numId w:val="19"/>
        </w:numPr>
        <w:tabs>
          <w:tab w:val="left" w:pos="993"/>
        </w:tabs>
        <w:spacing w:before="120" w:after="120" w:line="340" w:lineRule="exact"/>
        <w:ind w:left="0" w:firstLine="720"/>
        <w:jc w:val="both"/>
        <w:outlineLvl w:val="2"/>
        <w:rPr>
          <w:rFonts w:ascii="Times New Roman" w:eastAsia="Times New Roman" w:hAnsi="Times New Roman"/>
          <w:i/>
          <w:iCs/>
          <w:noProof/>
          <w:color w:val="000000" w:themeColor="text1"/>
          <w:sz w:val="26"/>
          <w:szCs w:val="26"/>
          <w:lang w:val="vi-VN"/>
        </w:rPr>
      </w:pPr>
      <w:r w:rsidRPr="00ED5E38">
        <w:rPr>
          <w:rFonts w:ascii="Times New Roman" w:eastAsia="Times New Roman" w:hAnsi="Times New Roman"/>
          <w:i/>
          <w:iCs/>
          <w:noProof/>
          <w:color w:val="000000" w:themeColor="text1"/>
          <w:sz w:val="26"/>
          <w:szCs w:val="26"/>
          <w:lang w:val="vi-VN"/>
        </w:rPr>
        <w:t>Về thủ tục thông báo tập trung kinh tế</w:t>
      </w:r>
    </w:p>
    <w:p w14:paraId="46643356" w14:textId="77777777" w:rsidR="00835332" w:rsidRPr="008D1468" w:rsidRDefault="00835332" w:rsidP="00FD5E31">
      <w:pPr>
        <w:tabs>
          <w:tab w:val="right" w:leader="dot" w:pos="7920"/>
        </w:tabs>
        <w:spacing w:before="120" w:after="120" w:line="340" w:lineRule="exact"/>
        <w:ind w:firstLine="720"/>
        <w:jc w:val="both"/>
        <w:rPr>
          <w:bCs/>
          <w:iCs/>
          <w:noProof/>
          <w:color w:val="000000" w:themeColor="text1"/>
          <w:spacing w:val="-2"/>
          <w:sz w:val="26"/>
          <w:szCs w:val="26"/>
          <w:lang w:val="vi-VN"/>
        </w:rPr>
      </w:pPr>
      <w:r w:rsidRPr="008D1468">
        <w:rPr>
          <w:bCs/>
          <w:iCs/>
          <w:noProof/>
          <w:color w:val="000000" w:themeColor="text1"/>
          <w:spacing w:val="-2"/>
          <w:sz w:val="26"/>
          <w:szCs w:val="26"/>
          <w:lang w:val="vi-VN"/>
        </w:rPr>
        <w:t xml:space="preserve">Trải qua 05 năm thi hành, các quy định pháp luật liên quan đến thủ tục thông báo tập trung kinh tế đã bộc lộ một số hạn chế, bất cập. Theo đó, hình thức thông báo tập trung kinh tế chưa đảm bảo nguyên tắc kiểm soát các giao dịch tập trung kinh tế có tác động hoặc có khả năng gây tác động hạn chế cạnh tranh đến thị trường Việt Nam; tạo gánh nặng thực hiện thủ tục hành chính cho doanh nghiệp đối với một số trường hợp không có khả năng gây tác động hạn chế cạnh tranh đến thị trường Việt Nam nhưng vẫn phải thông báo tập trung kinh tế; quy định về thành phần hồ sơ thông báo tập trung kinh tế và thủ tục tham vấn trong quá trình thẩm định hồ sơ thông báo tập trung kinh tế cần được đơn giản hóa theo phương án đã ban hành tại các Quyết định của Chính phủ, Thủ tướng Chính phủ; quy định về việc thực hiện điều kiện đối với tập trung kinh tế có điều kiện chưa có thời hạn, có khả năng gây khó khăn, vướng mắc cho các doanh nghiệp, cụ thể:  </w:t>
      </w:r>
    </w:p>
    <w:p w14:paraId="0D124E33" w14:textId="77777777" w:rsidR="00835332" w:rsidRPr="00ED5E38" w:rsidRDefault="00835332" w:rsidP="00FD5E31">
      <w:pPr>
        <w:spacing w:before="120" w:after="120" w:line="340" w:lineRule="exact"/>
        <w:ind w:firstLine="720"/>
        <w:jc w:val="both"/>
        <w:rPr>
          <w:b/>
          <w:bCs/>
          <w:i/>
          <w:noProof/>
          <w:color w:val="000000" w:themeColor="text1"/>
          <w:sz w:val="26"/>
          <w:szCs w:val="26"/>
          <w:lang w:val="vi-VN"/>
        </w:rPr>
      </w:pPr>
      <w:r w:rsidRPr="00ED5E38">
        <w:rPr>
          <w:b/>
          <w:bCs/>
          <w:i/>
          <w:noProof/>
          <w:color w:val="000000" w:themeColor="text1"/>
          <w:sz w:val="26"/>
          <w:szCs w:val="26"/>
          <w:lang w:val="vi-VN"/>
        </w:rPr>
        <w:t>Bất cập của các quy định về các hình thức tập trung kinh tế:</w:t>
      </w:r>
    </w:p>
    <w:p w14:paraId="124EB9D8" w14:textId="77777777" w:rsidR="00835332" w:rsidRPr="00ED5E38" w:rsidRDefault="00835332" w:rsidP="00FD5E31">
      <w:pPr>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Điều 29 Luật Cạnh tranh 2018 quy định về các hình thức tập trung kinh tế như sau:</w:t>
      </w:r>
    </w:p>
    <w:p w14:paraId="713C5999"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bookmarkStart w:id="6" w:name="dieu_29"/>
      <w:r w:rsidRPr="00FD5E31">
        <w:rPr>
          <w:i/>
          <w:noProof/>
          <w:color w:val="000000" w:themeColor="text1"/>
          <w:sz w:val="26"/>
          <w:szCs w:val="26"/>
          <w:lang w:val="vi-VN"/>
        </w:rPr>
        <w:t>“</w:t>
      </w:r>
      <w:bookmarkEnd w:id="6"/>
      <w:r w:rsidRPr="00FD5E31">
        <w:rPr>
          <w:i/>
          <w:noProof/>
          <w:color w:val="000000" w:themeColor="text1"/>
          <w:sz w:val="26"/>
          <w:szCs w:val="26"/>
          <w:lang w:val="vi-VN"/>
        </w:rPr>
        <w:t>1. Tập trung kinh tế bao gồm các hình thức sau đây:</w:t>
      </w:r>
    </w:p>
    <w:p w14:paraId="33464363"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a) Sáp nhập doanh nghiệp;</w:t>
      </w:r>
    </w:p>
    <w:p w14:paraId="2993E9BC"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b) Hợp nhất doanh nghiệp;</w:t>
      </w:r>
    </w:p>
    <w:p w14:paraId="2A7A90B0"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c) Mua lại doanh nghiệp;</w:t>
      </w:r>
    </w:p>
    <w:p w14:paraId="3B0D7D0A"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d) Liên doanh giữa các doanh nghiệp;</w:t>
      </w:r>
    </w:p>
    <w:p w14:paraId="0F82BEF4"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đ) Các hình thức tập trung kinh tế khác theo quy định của pháp luật.</w:t>
      </w:r>
    </w:p>
    <w:p w14:paraId="25E453B6"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2. Sáp nhập doanh nghiệp là việc một hoặc một số doanh nghiệp chuyển toàn bộ tài sản, quyền, nghĩa vụ và lợi ích hợp pháp của mình sang một doanh nghiệp khác, đồng thời chấm dứt hoạt động kinh doanh hoặc sự tồn tại của doanh nghiệp bị sáp nhập.</w:t>
      </w:r>
    </w:p>
    <w:p w14:paraId="436C2204" w14:textId="77777777" w:rsidR="00835332" w:rsidRPr="00FD5E31" w:rsidRDefault="00835332" w:rsidP="00FD5E31">
      <w:pPr>
        <w:spacing w:before="120" w:after="120" w:line="340" w:lineRule="exact"/>
        <w:ind w:firstLine="720"/>
        <w:jc w:val="both"/>
        <w:rPr>
          <w:i/>
          <w:noProof/>
          <w:color w:val="000000" w:themeColor="text1"/>
          <w:spacing w:val="-2"/>
          <w:sz w:val="26"/>
          <w:szCs w:val="26"/>
          <w:lang w:val="vi-VN"/>
        </w:rPr>
      </w:pPr>
      <w:r w:rsidRPr="00FD5E31">
        <w:rPr>
          <w:i/>
          <w:noProof/>
          <w:color w:val="000000" w:themeColor="text1"/>
          <w:spacing w:val="-2"/>
          <w:sz w:val="26"/>
          <w:szCs w:val="26"/>
          <w:lang w:val="vi-VN"/>
        </w:rPr>
        <w:t xml:space="preserve">3. Hợp nhất doanh nghiệp là việc hai hoặc nhiều doanh nghiệp chuyển toàn bộ tài sản, quyền, nghĩa vụ và lợi ích hợp pháp của mình để hình thành một doanh nghiệp mới, </w:t>
      </w:r>
      <w:r w:rsidRPr="00FD5E31">
        <w:rPr>
          <w:i/>
          <w:noProof/>
          <w:color w:val="000000" w:themeColor="text1"/>
          <w:spacing w:val="-2"/>
          <w:sz w:val="26"/>
          <w:szCs w:val="26"/>
          <w:lang w:val="vi-VN"/>
        </w:rPr>
        <w:lastRenderedPageBreak/>
        <w:t>đồng thời chấm dứt hoạt động kinh doanh hoặc sự tồn tại của các doanh nghiệp bị hợp nhất.</w:t>
      </w:r>
    </w:p>
    <w:p w14:paraId="2661D66F"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4. Mua lại doanh nghiệp là việc một doanh nghiệp trực tiếp hoặc gián tiếp mua toàn bộ hoặc một phần vốn góp, tài sản của doanh nghiệp khác đủ để kiểm soát, chi phối doanh nghiệp hoặc một ngành, nghề của doanh nghiệp bị mua lại.</w:t>
      </w:r>
    </w:p>
    <w:p w14:paraId="126C3825" w14:textId="77777777" w:rsidR="00835332" w:rsidRPr="00FD5E31" w:rsidRDefault="00835332" w:rsidP="00FD5E31">
      <w:pPr>
        <w:spacing w:before="120" w:after="120" w:line="340" w:lineRule="exact"/>
        <w:ind w:firstLine="720"/>
        <w:jc w:val="both"/>
        <w:rPr>
          <w:i/>
          <w:noProof/>
          <w:color w:val="000000" w:themeColor="text1"/>
          <w:sz w:val="26"/>
          <w:szCs w:val="26"/>
          <w:lang w:val="vi-VN"/>
        </w:rPr>
      </w:pPr>
      <w:r w:rsidRPr="00FD5E31">
        <w:rPr>
          <w:i/>
          <w:noProof/>
          <w:color w:val="000000" w:themeColor="text1"/>
          <w:sz w:val="26"/>
          <w:szCs w:val="26"/>
          <w:lang w:val="vi-VN"/>
        </w:rPr>
        <w:t>5. Liên doanh giữa các doanh nghiệp là việc hai hoặc nhiều doanh nghiệp cùng nhau góp một phần tài sản, quyền, nghĩa vụ và lợi ích hợp pháp của mình để hình thành một doanh nghiệp mới. sáp nhập, hợp nhất, mua lại, liên doanh giữa các doanh nghiệp, đồng thời quy định các hình thức tập trung kinh tế khác theo quy định của pháp luật.”</w:t>
      </w:r>
    </w:p>
    <w:p w14:paraId="5CB2926C"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Thực tế trong quá trình thực thi công tác kiểm soát tập trung kinh tế, các hình thức tập trung kinh tế rất đa dạng và phức tạp, cụ thể:</w:t>
      </w:r>
    </w:p>
    <w:p w14:paraId="49A80ECD"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(i) Một số giao dịch xảy ra trong trường hợp một doanh nghiệp tăng hoặc giảm vốn điều lệ, dẫn đến thay đổi tỷ lệ sở hữu của các thành viên góp vốn/cổ đông. Từ đó, thay đổi chủ thể có quyền kiểm soát, chi phối đối với doanh nghiệp đó. Những giao dịch này có bản chất là hoạt động tập trung kinh tế và một số trường hợp có khả năng gây tác động hạn chế cạnh tranh đến thị trường Việt Nam. Trong khi đó, quy định pháp luật hiện hành chưa rõ ràng để xác định các giao dịch này thuộc trường hợp mua lại doanh nghiệp theo quy định tại Điều 29 Luật Cạnh tranh, gây bất cập cho cả doanh nghiệp và cơ quan quản lý nhà nước trong quá trình kiểm soát tập trung kinh tế. </w:t>
      </w:r>
    </w:p>
    <w:p w14:paraId="4F4CB8F2"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(ii) Một số giao dịch xảy ra trong trường hợp một doanh nghiệp thực hiện mua lại 50% vốn góp của một doanh nghiệp khác. Sau giao dịch, doanh nghiệp bị mua lại có 02 chủ sở hữu “đồng kiểm soát”, mỗi chủ sở hữu sở hữu 50% vốn/cổ phần, có quyền ngang nhau trong việc quyết định bổ nhiệm, miễn nhiệm hoặc bãi nhiệm đa số hoặc tất cả thành viên hội đồng quản trị, chủ tịch hội đồng thành viên, giám đốc hoặc tổng giám đốc của doanh nghiệp bị mua lại; quyết định sửa đổi, bổ sung điều lệ của doanh nghiệp bị mua lại; quyết định các vấn đề quan trọng trong hoạt động kinh doanh của doanh nghiệp bị mua lại. </w:t>
      </w:r>
    </w:p>
    <w:p w14:paraId="4D5FFA06"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Với các quy định pháp luật hiện hành về mua lại doanh nghiệp tại khoản 4 Điều 29 Luật Cạnh tranh, khoản 1 Điều 2 Nghị định số 35/2020/NĐ-CP, chưa rõ ràng để xác định những giao dịch này là tập trung kinh tế theo hình thức mua lại doanh nghiệp. Trong khi đó, đối với trường hợp hai hoặc nhiều doanh nghiệp cùng nhau góp một phần tài sản, quyền, nghĩa vụ và lợi ích hợp pháp của mình để hình thành một doanh nghiệp mới (không quy định về tỉ lệ góp vốn, do đó, có thể bao gồm trường hợp các bên góp vốn theo tỉ lệ 50:50 như trường hợp nêu trên). Trong khi đó, hiện nay căn cứ khoản 5 Điều 29 Luật Cạnh tranh, việc hai hoặc nhiều doanh nghiệp cùng nhau góp một phần tài sản, quyền, nghĩa vụ và lợi ích hợp pháp của mình để hình thành một doanh nghiệp mới là tập trung kinh tế theo hình thức liên doanh giữa các doanh nghiệp và trường hợp đạt ngưỡng thông báo tập trung kinh tế thì các bên dự định tham gia tập trung kinh tế có nghĩa vụ thông báo tập trung kinh tế.</w:t>
      </w:r>
    </w:p>
    <w:p w14:paraId="76079769"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Cũng tương tự trong một số trường hợp, thay vì thành lập liên doanh mới và thực </w:t>
      </w:r>
      <w:r w:rsidRPr="00ED5E38">
        <w:rPr>
          <w:iCs/>
          <w:noProof/>
          <w:color w:val="000000" w:themeColor="text1"/>
          <w:sz w:val="26"/>
          <w:szCs w:val="26"/>
          <w:lang w:val="vi-VN"/>
        </w:rPr>
        <w:lastRenderedPageBreak/>
        <w:t>hiện nghĩa vụ thông báo, một trong các bên dự định tham gia liên doanh tiến hành lập 01 pháp nhân mới với 100% tỷ lệ sở hữu, sau đó, các bên liên doanh còn lại sẽ thực hiện giao dịch để mua lần lượt tỷ lệ sở hữu dưới 50% của pháp nhân mới. Sau giao dịch pháp nhân mới có các thành viên góp vốn là các doanh nghiệp dự định thành lập liên doanh ban đầu cùng tham gia điều hành, điều này có khả năng gây ra tình trạng né tránh nghĩa vụ thông báo tập trung kinh tế.</w:t>
      </w:r>
    </w:p>
    <w:p w14:paraId="1C48922E" w14:textId="77777777" w:rsidR="00835332" w:rsidRPr="00FD5E31" w:rsidRDefault="00835332" w:rsidP="00FD5E31">
      <w:pPr>
        <w:widowControl w:val="0"/>
        <w:spacing w:before="120" w:after="120" w:line="340" w:lineRule="exact"/>
        <w:ind w:firstLine="720"/>
        <w:jc w:val="both"/>
        <w:rPr>
          <w:iCs/>
          <w:noProof/>
          <w:color w:val="000000" w:themeColor="text1"/>
          <w:spacing w:val="-4"/>
          <w:sz w:val="26"/>
          <w:szCs w:val="26"/>
          <w:lang w:val="vi-VN"/>
        </w:rPr>
      </w:pPr>
      <w:r w:rsidRPr="00FD5E31">
        <w:rPr>
          <w:iCs/>
          <w:noProof/>
          <w:color w:val="000000" w:themeColor="text1"/>
          <w:spacing w:val="-4"/>
          <w:sz w:val="26"/>
          <w:szCs w:val="26"/>
          <w:lang w:val="vi-VN"/>
        </w:rPr>
        <w:t>(ii) Một số các giao dịch không tác động và không có khả năng gây tác động hạn chế cạnh tranh đến thị trường Việt Nam nhưng do bất cập của các quy định hiện hành nên vẫn tạo gánh nặng về thủ tục hành chính cho doanh nghiệp và Ủy ban Cạnh tranh Quốc gia, cụ thể:</w:t>
      </w:r>
    </w:p>
    <w:p w14:paraId="271CAC14"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Trên thực tế phát sinh trường hợp một số giao dịch thuộc các hình thức quy định tại Điều 29 Luật Cạnh tranh và thuộc ngưỡng thông báo tập trung kinh tế quy định tại Điều 13 Nghị định số 35/2020/NĐ-CP nhưng lại không làm thay đổi cấu trúc thị trường sau giao dịch mua lại, không tác động và không có khả năng gây tác động hạn chế cạnh tranh đến thị trường Việt Nam nhưng lại vẫn thuộc trường hợp phải thông báo tập trung kinh tế. Ví dụ: trường hợp công ty mẹ tăng tỷ lệ sở hữu tại công ty con; một số trường hợp tái cấu trúc nội bộ của các doanh nghiệp cùng thuộc một nhóm công ty,…</w:t>
      </w:r>
    </w:p>
    <w:p w14:paraId="12024C0B"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Các tập đoàn kinh tế, tổng công ty thường thực hiện các giao dịch tập trung kinh tế tái cấu trúc nội bộ nhằm tối ưu hóa nguồn lực và nguồn vốn. Theo đó, thường diễn ra các giao dịch sáp nhập, hợp nhất, mua lại giữa các doanh nghiệp cùng thuộc một nhóm công ty. Trong số đó, nhiều trường hợp không làm thay đổi quyền kiểm soát đối với doanh nghiệp bị mua lại (trong trường hợp mua lại doanh nghiệp) và không làm thay đổi cấu trúc thị trường và mức độ tập trung trên từng thị trường liên quan nên biên độ tăng của tổng bình phương mức thị phần của các doanh nghiệp trên từng thị trường liên quan trước và sau tập trung kinh tế (chỉ số ΔHHI) luôn bằng 0. </w:t>
      </w:r>
    </w:p>
    <w:p w14:paraId="7D2BEE20"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Do đó, cần nghiên cứu kĩ lưỡng để có quy định chi tiết đảm bảo giảm gánh nặng thực hiện thủ tục hành chính cho doanh nghiệp đối với những giao dịch không có khả năng gây tác động hạn chế cạnh tranh đến thị trường Việt Nam, đồng thời, không tạo ra khoảng trống pháp lý để các doanh nghiệp lợi dụng hình thức tái cấu trúc nội bộ mà “né tránh” các quy định về nghĩa vụ thông báo tập trung kinh tế đối với các giao dịch gây tác động hoặc có khả năng gây tác động hạn chế cạnh tranh đến thị trường Việt Nam. </w:t>
      </w:r>
    </w:p>
    <w:p w14:paraId="195B414E"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Từ các bất cập nêu trên, có thể thấy rằng, việc quy định chi tiết các hình thức tập trung kinh tế tại khoản 1 Điều 29 Luật Cạnh tranh để đảm bảo tính rõ ràng, dễ hiểu, khả thi của các quy định về hình thức tập trung kinh tế là cần thiết. Theo đó, kiểm soát các giao dịch tập trung kinh tế có tác động hoặc có khả năng gây tác động hạn chế cạnh tranh đến thị trường Việt Nam; đồng thời, giảm gánh nặng thực hiện thủ tục hành chính cho doanh nghiệp đối với các trường hợp không có khả năng gây tác động hạn chế cạnh tranh đến thị trường Việt Nam. </w:t>
      </w:r>
    </w:p>
    <w:p w14:paraId="5CE51497" w14:textId="3794C63F" w:rsidR="00835332" w:rsidRPr="008D1468" w:rsidRDefault="00835332" w:rsidP="00FD5E31">
      <w:pPr>
        <w:spacing w:before="120" w:after="120" w:line="340" w:lineRule="exact"/>
        <w:ind w:firstLine="720"/>
        <w:jc w:val="both"/>
        <w:rPr>
          <w:rFonts w:ascii="Times New Roman Bold Italic" w:hAnsi="Times New Roman Bold Italic"/>
          <w:b/>
          <w:bCs/>
          <w:i/>
          <w:noProof/>
          <w:color w:val="000000" w:themeColor="text1"/>
          <w:spacing w:val="-2"/>
          <w:sz w:val="26"/>
          <w:szCs w:val="26"/>
          <w:lang w:val="vi-VN"/>
        </w:rPr>
      </w:pPr>
      <w:r w:rsidRPr="008D1468">
        <w:rPr>
          <w:rFonts w:ascii="Times New Roman Bold Italic" w:hAnsi="Times New Roman Bold Italic"/>
          <w:b/>
          <w:bCs/>
          <w:i/>
          <w:noProof/>
          <w:color w:val="000000" w:themeColor="text1"/>
          <w:spacing w:val="-2"/>
          <w:sz w:val="26"/>
          <w:szCs w:val="26"/>
          <w:lang w:val="vi-VN"/>
        </w:rPr>
        <w:t>Bất cập của các quy định về hồ sơ, trình tự, thủ tục thông báo tập trung kinh tế</w:t>
      </w:r>
    </w:p>
    <w:p w14:paraId="5B53DB17" w14:textId="77777777" w:rsidR="00835332" w:rsidRPr="00ED5E38" w:rsidRDefault="00835332" w:rsidP="00FD5E31">
      <w:pPr>
        <w:widowControl w:val="0"/>
        <w:spacing w:before="120" w:after="120" w:line="340" w:lineRule="exact"/>
        <w:ind w:firstLine="720"/>
        <w:jc w:val="both"/>
        <w:rPr>
          <w:i/>
          <w:iCs/>
          <w:noProof/>
          <w:color w:val="000000" w:themeColor="text1"/>
          <w:sz w:val="26"/>
          <w:szCs w:val="26"/>
          <w:lang w:val="vi-VN"/>
        </w:rPr>
      </w:pPr>
      <w:r w:rsidRPr="00ED5E38">
        <w:rPr>
          <w:iCs/>
          <w:noProof/>
          <w:color w:val="000000" w:themeColor="text1"/>
          <w:sz w:val="26"/>
          <w:szCs w:val="26"/>
          <w:lang w:val="vi-VN"/>
        </w:rPr>
        <w:t>(i)</w:t>
      </w:r>
      <w:r w:rsidRPr="00ED5E38">
        <w:rPr>
          <w:bCs/>
          <w:iCs/>
          <w:noProof/>
          <w:color w:val="000000" w:themeColor="text1"/>
          <w:sz w:val="26"/>
          <w:szCs w:val="26"/>
          <w:lang w:val="vi-VN"/>
        </w:rPr>
        <w:t xml:space="preserve"> </w:t>
      </w:r>
      <w:r w:rsidRPr="00ED5E38">
        <w:rPr>
          <w:iCs/>
          <w:noProof/>
          <w:color w:val="000000" w:themeColor="text1"/>
          <w:sz w:val="26"/>
          <w:szCs w:val="26"/>
          <w:lang w:val="vi-VN"/>
        </w:rPr>
        <w:t xml:space="preserve">Theo quy định tại điểm b khoản 1 Điều 34 Luật Cạnh tranh, một trong các </w:t>
      </w:r>
      <w:r w:rsidRPr="00ED5E38">
        <w:rPr>
          <w:iCs/>
          <w:noProof/>
          <w:color w:val="000000" w:themeColor="text1"/>
          <w:sz w:val="26"/>
          <w:szCs w:val="26"/>
          <w:lang w:val="vi-VN"/>
        </w:rPr>
        <w:lastRenderedPageBreak/>
        <w:t xml:space="preserve">thành phần của hồ sơ thông báo tập trung kinh tế là </w:t>
      </w:r>
      <w:r w:rsidRPr="00ED5E38">
        <w:rPr>
          <w:i/>
          <w:iCs/>
          <w:noProof/>
          <w:color w:val="000000" w:themeColor="text1"/>
          <w:sz w:val="26"/>
          <w:szCs w:val="26"/>
          <w:lang w:val="vi-VN"/>
        </w:rPr>
        <w:t xml:space="preserve">“dự thảo nội dung thỏa thuận tập trung kinh tế hoặc dự thảo hợp đồng, biên bản ghi nhớ việc tập trung kinh tế giữa các doanh nghiệp”. </w:t>
      </w:r>
    </w:p>
    <w:p w14:paraId="3B08F352"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 xml:space="preserve">Tuy nhiên, theo khoản 25 Điều 3 Nghị định số 155/2020/NĐ-CP ngày 31 tháng 12 năm 2020 của Chính phủ quy định chi tiết thi hành một số điều của Luật Chứng khoán, </w:t>
      </w:r>
      <w:r w:rsidRPr="00ED5E38">
        <w:rPr>
          <w:i/>
          <w:noProof/>
          <w:color w:val="000000" w:themeColor="text1"/>
          <w:sz w:val="26"/>
          <w:szCs w:val="26"/>
          <w:lang w:val="vi-VN"/>
        </w:rPr>
        <w:t xml:space="preserve">“Chào mua công khai là việc tổ chức, cá nhân công khai thực hiện việc mua một phần hoặc toàn bộ số cổ phiếu có quyền biểu quyết của một công ty đại chúng, chứng chỉ quỹ đóng của một quỹ đóng theo các quy định của pháp luật nhằm đảm bảo công bằng cho các cổ đông, nhà đầu tư của công ty mục tiêu, quỹ đầu tư mục tiêu”. </w:t>
      </w:r>
      <w:r w:rsidRPr="00ED5E38">
        <w:rPr>
          <w:iCs/>
          <w:noProof/>
          <w:color w:val="000000" w:themeColor="text1"/>
          <w:sz w:val="26"/>
          <w:szCs w:val="26"/>
          <w:lang w:val="vi-VN"/>
        </w:rPr>
        <w:t xml:space="preserve">Căn cứ các quy định tại Luật Chứng khoán và Nghị định số 155/2020/NĐ-CP, đối với các giao dịch chào mua công khai cổ phiếu, việc yêu cầu lập dự thảo thỏa thuận tập trung kinh tế hoặc dự thảo hợp đồng, biên bản ghi nhớ về việc tập trung kinh tế giữa bên mua và bên bán trong trường hợp chào mua công khai là không thể thực hiện được và việc chào mua công khai không yêu cầu sự đồng thuận của công ty mục tiêu. </w:t>
      </w:r>
    </w:p>
    <w:p w14:paraId="616B7531"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r w:rsidRPr="00ED5E38">
        <w:rPr>
          <w:iCs/>
          <w:noProof/>
          <w:color w:val="000000" w:themeColor="text1"/>
          <w:sz w:val="26"/>
          <w:szCs w:val="26"/>
          <w:lang w:val="vi-VN"/>
        </w:rPr>
        <w:t>Do đó, để tháo gỡ khó khăn, vướng mắc cho các doanh nghiệp dự định tham gia tập trung kinh tế thông qua hình thức chào mua công khai cổ phiếu cũng như có căn cứ pháp lí rõ ràng để cơ quan quản lý nhà nước về cạnh tranh tiếp nhận các hồ sơ thông báo tập trung kinh tế này, việc sửa đổi quy định về hồ sơ thông báo tập trung kinh tế cho phù hợp với thực tiễn và pháp luật về chứng khoán là cần thiết.</w:t>
      </w:r>
    </w:p>
    <w:p w14:paraId="727BC1EC" w14:textId="77777777" w:rsidR="00835332" w:rsidRPr="00FD5E31" w:rsidRDefault="00835332" w:rsidP="00FD5E31">
      <w:pPr>
        <w:widowControl w:val="0"/>
        <w:spacing w:before="120" w:after="120" w:line="340" w:lineRule="exact"/>
        <w:ind w:firstLine="720"/>
        <w:jc w:val="both"/>
        <w:rPr>
          <w:b/>
          <w:iCs/>
          <w:noProof/>
          <w:color w:val="000000" w:themeColor="text1"/>
          <w:spacing w:val="-2"/>
          <w:sz w:val="26"/>
          <w:szCs w:val="26"/>
          <w:lang w:val="vi-VN"/>
        </w:rPr>
      </w:pPr>
      <w:r w:rsidRPr="00FD5E31">
        <w:rPr>
          <w:bCs/>
          <w:iCs/>
          <w:noProof/>
          <w:color w:val="000000" w:themeColor="text1"/>
          <w:spacing w:val="-2"/>
          <w:sz w:val="26"/>
          <w:szCs w:val="26"/>
          <w:lang w:val="vi-VN"/>
        </w:rPr>
        <w:t>(ii) Theo quy định tại điểm c khoản 1 Điều 34 Luật Cạnh tranh, một trong các thành phần của hồ sơ thông báo tập trung kinh tế là “</w:t>
      </w:r>
      <w:r w:rsidRPr="00FD5E31">
        <w:rPr>
          <w:bCs/>
          <w:i/>
          <w:iCs/>
          <w:noProof/>
          <w:color w:val="000000" w:themeColor="text1"/>
          <w:spacing w:val="-2"/>
          <w:sz w:val="26"/>
          <w:szCs w:val="26"/>
          <w:lang w:val="vi-VN"/>
        </w:rPr>
        <w:t>Bản sao hợp lệ Giấy chứng nhận đăng ký doanh nghiệp hoặc văn bản tương đương của từng doanh nghiệp tham gia tập trung kinh tế</w:t>
      </w:r>
      <w:r w:rsidRPr="00FD5E31">
        <w:rPr>
          <w:bCs/>
          <w:iCs/>
          <w:noProof/>
          <w:color w:val="000000" w:themeColor="text1"/>
          <w:spacing w:val="-2"/>
          <w:sz w:val="26"/>
          <w:szCs w:val="26"/>
          <w:lang w:val="vi-VN"/>
        </w:rPr>
        <w:t xml:space="preserve">”. </w:t>
      </w:r>
    </w:p>
    <w:p w14:paraId="10CB74DF" w14:textId="77777777" w:rsidR="00835332" w:rsidRPr="00ED5E38" w:rsidRDefault="00835332" w:rsidP="00FD5E31">
      <w:pPr>
        <w:widowControl w:val="0"/>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Theo điểm a khoản 5 Điều 4 Nghị quyết số 66.7/2025/NQ-CP của Chính phủ quy định cắt giảm, đơn giản hóa thủ tục hành chính dựa trên dữ liệu, Giấy chứng nhận đăng ký doanh nghiệp hoặc giấy chứng nhận đăng ký kinh doanh (đối với doanh nghiệp được thành lập theo Luật Doanh nghiệp) là một trong các thành phần hồ sơ thủ tục hành chính được thay thế bằng việc sử dụng thông tin trong cơ sở dữ liệu. Do đó, để thực hiện điểm d khoản 1 Điều 7 Nghị quyết số 66.7/2025/NQ-CP, việc sửa đổi quy định về thành phần hồ sơ thông báo tập trung kinh tế tại điểm c khoản 1 Điều 34 Luật Cạnh tranh 2018 là cần thiết.</w:t>
      </w:r>
    </w:p>
    <w:p w14:paraId="684F457C" w14:textId="77777777" w:rsidR="00835332" w:rsidRPr="00ED5E38" w:rsidRDefault="00835332" w:rsidP="00FD5E31">
      <w:pPr>
        <w:widowControl w:val="0"/>
        <w:spacing w:before="120" w:after="120" w:line="340" w:lineRule="exact"/>
        <w:ind w:firstLine="720"/>
        <w:jc w:val="both"/>
        <w:rPr>
          <w:b/>
          <w:bCs/>
          <w:noProof/>
          <w:color w:val="000000" w:themeColor="text1"/>
          <w:sz w:val="26"/>
          <w:szCs w:val="26"/>
          <w:lang w:val="vi-VN"/>
        </w:rPr>
      </w:pPr>
      <w:r w:rsidRPr="00ED5E38">
        <w:rPr>
          <w:b/>
          <w:bCs/>
          <w:i/>
          <w:noProof/>
          <w:color w:val="000000" w:themeColor="text1"/>
          <w:sz w:val="26"/>
          <w:szCs w:val="26"/>
          <w:lang w:val="vi-VN"/>
        </w:rPr>
        <w:t>Bất cập của các quy định về thủ tục tham vấn trong quá trình thẩm định hồ sơ thông báo tập trung kinh tế</w:t>
      </w:r>
    </w:p>
    <w:p w14:paraId="442981E9" w14:textId="77777777" w:rsidR="00835332" w:rsidRPr="00ED5E38" w:rsidRDefault="00835332" w:rsidP="00FD5E31">
      <w:pPr>
        <w:widowControl w:val="0"/>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Theo khoản 2 Điều 8 Nghị định số 63/2010/NĐ-CP ngày 08 tháng 6 năm 2010 của Chính phủ về kiểm soát thủ tục hành chính (được sửa đổi, bổ sung bởi các Nghị định số: 48/2013/NĐ-CP; 150/2016/NĐ-CP; 92/2017/NĐ-CP; 78/2025/NĐ-CP; 118/2025/NĐ-CP), việc quy định một thủ tục hành chính chỉ hoàn thành khi đáp ứng đầy đủ các bộ phận tạo thành cơ bản sau đây:</w:t>
      </w:r>
    </w:p>
    <w:p w14:paraId="076995A6"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“a) Tên thủ tục hành chính;</w:t>
      </w:r>
    </w:p>
    <w:p w14:paraId="789EB826"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lastRenderedPageBreak/>
        <w:t>b) Trình tự thực hiện;</w:t>
      </w:r>
    </w:p>
    <w:p w14:paraId="7C0B8881"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c) Cách thức thực hiện;</w:t>
      </w:r>
    </w:p>
    <w:p w14:paraId="6180C30F"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d) Thành phần, số lượng hồ sơ;</w:t>
      </w:r>
    </w:p>
    <w:p w14:paraId="23C7FC94"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đ) Thời hạn giải quyết;</w:t>
      </w:r>
    </w:p>
    <w:p w14:paraId="4A318358"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e) Đối tượng thực hiện thủ tục hành chính;</w:t>
      </w:r>
    </w:p>
    <w:p w14:paraId="6888AF0B"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g) Cơ quan giải quyết thủ tục hành chính;</w:t>
      </w:r>
    </w:p>
    <w:p w14:paraId="5EB01E4C" w14:textId="77777777" w:rsidR="00835332" w:rsidRPr="00ED5E38" w:rsidRDefault="00835332" w:rsidP="00FD5E31">
      <w:pPr>
        <w:widowControl w:val="0"/>
        <w:spacing w:before="120" w:after="120" w:line="340" w:lineRule="exact"/>
        <w:ind w:firstLine="720"/>
        <w:jc w:val="both"/>
        <w:rPr>
          <w:bCs/>
          <w:i/>
          <w:noProof/>
          <w:color w:val="000000" w:themeColor="text1"/>
          <w:sz w:val="26"/>
          <w:szCs w:val="26"/>
          <w:lang w:val="vi-VN"/>
        </w:rPr>
      </w:pPr>
      <w:r w:rsidRPr="00ED5E38">
        <w:rPr>
          <w:bCs/>
          <w:i/>
          <w:noProof/>
          <w:color w:val="000000" w:themeColor="text1"/>
          <w:sz w:val="26"/>
          <w:szCs w:val="26"/>
          <w:lang w:val="vi-VN"/>
        </w:rPr>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p>
    <w:p w14:paraId="258739A1" w14:textId="77777777" w:rsidR="00835332" w:rsidRPr="00ED5E38" w:rsidRDefault="00835332" w:rsidP="00FD5E31">
      <w:pPr>
        <w:widowControl w:val="0"/>
        <w:spacing w:before="120" w:after="120" w:line="340" w:lineRule="exact"/>
        <w:ind w:firstLine="720"/>
        <w:jc w:val="both"/>
        <w:rPr>
          <w:bCs/>
          <w:iCs/>
          <w:noProof/>
          <w:color w:val="000000" w:themeColor="text1"/>
          <w:sz w:val="26"/>
          <w:szCs w:val="26"/>
          <w:lang w:val="vi-VN"/>
        </w:rPr>
      </w:pPr>
      <w:r w:rsidRPr="00ED5E38">
        <w:rPr>
          <w:bCs/>
          <w:iCs/>
          <w:noProof/>
          <w:color w:val="000000" w:themeColor="text1"/>
          <w:sz w:val="26"/>
          <w:szCs w:val="26"/>
          <w:lang w:val="vi-VN"/>
        </w:rPr>
        <w:t>Đồng thời, theo Quyết định số 1643/QĐ-TTg ngày 31 tháng 7 năm 2025 của Thủ tướng Chính phủ về việc phê duyệt phương án cắt giảm, đơn giản hóa thủ tục hành chính liên quan đến hoạt động sản xuất, kinh doanh thuộc phạm vi quản lý của Bộ Công Thương, thủ tục tham vấn trong quá trình thẩm định hồ sơ thông báo tập trung kinh tế cần được đơn giản hóa theo hướng bổ sung cách thức thực hiện (qua bưu điện, trực tuyến hoặc Trục liên thông văn bản quốc gia) và bổ sung thành phần hồ sơ, số lượng hồ sơ.</w:t>
      </w:r>
    </w:p>
    <w:p w14:paraId="4FBA9E2B" w14:textId="77777777" w:rsidR="00835332" w:rsidRPr="008D1468" w:rsidRDefault="00835332" w:rsidP="00FD5E31">
      <w:pPr>
        <w:widowControl w:val="0"/>
        <w:spacing w:before="120" w:after="120" w:line="340" w:lineRule="exact"/>
        <w:ind w:firstLine="720"/>
        <w:jc w:val="both"/>
        <w:rPr>
          <w:bCs/>
          <w:iCs/>
          <w:noProof/>
          <w:color w:val="000000" w:themeColor="text1"/>
          <w:sz w:val="26"/>
          <w:szCs w:val="26"/>
          <w:lang w:val="vi-VN"/>
        </w:rPr>
      </w:pPr>
      <w:r w:rsidRPr="008D1468">
        <w:rPr>
          <w:bCs/>
          <w:iCs/>
          <w:noProof/>
          <w:color w:val="000000" w:themeColor="text1"/>
          <w:sz w:val="26"/>
          <w:szCs w:val="26"/>
          <w:lang w:val="vi-VN"/>
        </w:rPr>
        <w:t xml:space="preserve">Do đó, việc sửa đổi quy định về thủ tục tham vấn trong quá trình thẩm định hồ sơ thông báo tập trung kinh tế tại Điều 39 Luật Cạnh tranh để thực hiện phương án cắt giảm, đơn giản hóa thủ tục hành chính và thống nhất với pháp luật về thủ tục hành chính là cần thiết. </w:t>
      </w:r>
    </w:p>
    <w:p w14:paraId="4552B8CE" w14:textId="77777777" w:rsidR="00835332" w:rsidRPr="00ED5E38" w:rsidRDefault="00835332" w:rsidP="00FD5E31">
      <w:pPr>
        <w:widowControl w:val="0"/>
        <w:spacing w:before="120" w:after="120" w:line="340" w:lineRule="exact"/>
        <w:ind w:firstLine="720"/>
        <w:jc w:val="both"/>
        <w:rPr>
          <w:b/>
          <w:bCs/>
          <w:i/>
          <w:noProof/>
          <w:color w:val="000000" w:themeColor="text1"/>
          <w:sz w:val="26"/>
          <w:szCs w:val="26"/>
          <w:lang w:val="vi-VN"/>
        </w:rPr>
      </w:pPr>
      <w:r w:rsidRPr="00ED5E38">
        <w:rPr>
          <w:b/>
          <w:bCs/>
          <w:i/>
          <w:noProof/>
          <w:color w:val="000000" w:themeColor="text1"/>
          <w:sz w:val="26"/>
          <w:szCs w:val="26"/>
          <w:lang w:val="vi-VN"/>
        </w:rPr>
        <w:t>Bất cập của quy định về tập trung kinh tế có điều kiện</w:t>
      </w:r>
    </w:p>
    <w:p w14:paraId="118880DE" w14:textId="77777777" w:rsidR="00835332" w:rsidRPr="00ED5E38" w:rsidRDefault="00835332" w:rsidP="00FD5E31">
      <w:pPr>
        <w:widowControl w:val="0"/>
        <w:spacing w:before="120" w:after="120" w:line="340" w:lineRule="exact"/>
        <w:ind w:firstLine="720"/>
        <w:jc w:val="both"/>
        <w:rPr>
          <w:iCs/>
          <w:noProof/>
          <w:color w:val="000000" w:themeColor="text1"/>
          <w:sz w:val="26"/>
          <w:szCs w:val="26"/>
          <w:lang w:val="vi-VN"/>
        </w:rPr>
      </w:pPr>
      <w:bookmarkStart w:id="7" w:name="dieu_42"/>
      <w:r w:rsidRPr="00ED5E38">
        <w:rPr>
          <w:iCs/>
          <w:noProof/>
          <w:color w:val="000000" w:themeColor="text1"/>
          <w:sz w:val="26"/>
          <w:szCs w:val="26"/>
          <w:lang w:val="vi-VN"/>
        </w:rPr>
        <w:t>Điều 42 Luật Cạnh tranh quy định về tập trung kinh tế có điều kiện</w:t>
      </w:r>
      <w:bookmarkEnd w:id="7"/>
      <w:r w:rsidRPr="00ED5E38">
        <w:rPr>
          <w:iCs/>
          <w:noProof/>
          <w:color w:val="000000" w:themeColor="text1"/>
          <w:sz w:val="26"/>
          <w:szCs w:val="26"/>
          <w:lang w:val="vi-VN"/>
        </w:rPr>
        <w:t xml:space="preserve"> như sau:</w:t>
      </w:r>
    </w:p>
    <w:p w14:paraId="3CC489CF" w14:textId="77777777" w:rsidR="00835332" w:rsidRPr="00ED5E38" w:rsidRDefault="00835332" w:rsidP="00FD5E31">
      <w:pPr>
        <w:widowControl w:val="0"/>
        <w:spacing w:before="120" w:after="120" w:line="340" w:lineRule="exact"/>
        <w:ind w:firstLine="720"/>
        <w:jc w:val="both"/>
        <w:rPr>
          <w:i/>
          <w:noProof/>
          <w:color w:val="000000" w:themeColor="text1"/>
          <w:sz w:val="26"/>
          <w:szCs w:val="26"/>
          <w:lang w:val="vi-VN"/>
        </w:rPr>
      </w:pPr>
      <w:r w:rsidRPr="00ED5E38">
        <w:rPr>
          <w:i/>
          <w:noProof/>
          <w:color w:val="000000" w:themeColor="text1"/>
          <w:sz w:val="26"/>
          <w:szCs w:val="26"/>
          <w:lang w:val="vi-VN"/>
        </w:rPr>
        <w:t>“Tập trung kinh tế có điều kiện là tập trung kinh tế được thực hiện nhưng phải đáp ứng một hoặc một số điều kiện sau đây:</w:t>
      </w:r>
    </w:p>
    <w:p w14:paraId="5AE796C6" w14:textId="77777777" w:rsidR="00835332" w:rsidRPr="008D1468" w:rsidRDefault="00835332" w:rsidP="00FD5E31">
      <w:pPr>
        <w:widowControl w:val="0"/>
        <w:spacing w:before="120" w:after="120" w:line="340" w:lineRule="exact"/>
        <w:ind w:firstLine="720"/>
        <w:jc w:val="both"/>
        <w:rPr>
          <w:i/>
          <w:noProof/>
          <w:color w:val="000000" w:themeColor="text1"/>
          <w:sz w:val="26"/>
          <w:szCs w:val="26"/>
          <w:lang w:val="vi-VN"/>
        </w:rPr>
      </w:pPr>
      <w:r w:rsidRPr="008D1468">
        <w:rPr>
          <w:i/>
          <w:noProof/>
          <w:color w:val="000000" w:themeColor="text1"/>
          <w:sz w:val="26"/>
          <w:szCs w:val="26"/>
          <w:lang w:val="vi-VN"/>
        </w:rPr>
        <w:t>1. Chia, tách, bán lại một phần vốn góp, tài sản của doanh nghiệp tham gia tập trung kinh tế;</w:t>
      </w:r>
    </w:p>
    <w:p w14:paraId="01901C33" w14:textId="77777777" w:rsidR="00835332" w:rsidRPr="008D1468" w:rsidRDefault="00835332" w:rsidP="00FD5E31">
      <w:pPr>
        <w:widowControl w:val="0"/>
        <w:spacing w:before="120" w:after="120" w:line="340" w:lineRule="exact"/>
        <w:ind w:firstLine="720"/>
        <w:jc w:val="both"/>
        <w:rPr>
          <w:i/>
          <w:noProof/>
          <w:color w:val="000000" w:themeColor="text1"/>
          <w:sz w:val="26"/>
          <w:szCs w:val="26"/>
          <w:lang w:val="vi-VN"/>
        </w:rPr>
      </w:pPr>
      <w:r w:rsidRPr="008D1468">
        <w:rPr>
          <w:i/>
          <w:noProof/>
          <w:color w:val="000000" w:themeColor="text1"/>
          <w:sz w:val="26"/>
          <w:szCs w:val="26"/>
          <w:lang w:val="vi-VN"/>
        </w:rPr>
        <w:t>2. Kiểm soát nội dung liên quan đến giá mua, giá bán hàng hóa, dịch vụ hoặc các điều kiện giao dịch khác trong hợp đồng của doanh nghiệp hình thành sau tập trung kinh tế;</w:t>
      </w:r>
    </w:p>
    <w:p w14:paraId="10968415" w14:textId="77777777" w:rsidR="00835332" w:rsidRPr="008D1468" w:rsidRDefault="00835332" w:rsidP="00FD5E31">
      <w:pPr>
        <w:widowControl w:val="0"/>
        <w:spacing w:before="120" w:after="120" w:line="340" w:lineRule="exact"/>
        <w:ind w:firstLine="720"/>
        <w:jc w:val="both"/>
        <w:rPr>
          <w:i/>
          <w:noProof/>
          <w:color w:val="000000" w:themeColor="text1"/>
          <w:sz w:val="26"/>
          <w:szCs w:val="26"/>
          <w:lang w:val="vi-VN"/>
        </w:rPr>
      </w:pPr>
      <w:r w:rsidRPr="008D1468">
        <w:rPr>
          <w:i/>
          <w:noProof/>
          <w:color w:val="000000" w:themeColor="text1"/>
          <w:sz w:val="26"/>
          <w:szCs w:val="26"/>
          <w:lang w:val="vi-VN"/>
        </w:rPr>
        <w:t>3. Biện pháp khác nhằm khắc phục khả năng tác động hạn chế cạnh tranh trên thị trường;</w:t>
      </w:r>
    </w:p>
    <w:p w14:paraId="7955CBE7" w14:textId="77777777" w:rsidR="00835332" w:rsidRPr="008D1468" w:rsidRDefault="00835332" w:rsidP="00FD5E31">
      <w:pPr>
        <w:widowControl w:val="0"/>
        <w:spacing w:before="120" w:after="120" w:line="340" w:lineRule="exact"/>
        <w:ind w:firstLine="720"/>
        <w:jc w:val="both"/>
        <w:rPr>
          <w:i/>
          <w:noProof/>
          <w:color w:val="000000" w:themeColor="text1"/>
          <w:sz w:val="26"/>
          <w:szCs w:val="26"/>
          <w:lang w:val="vi-VN"/>
        </w:rPr>
      </w:pPr>
      <w:r w:rsidRPr="008D1468">
        <w:rPr>
          <w:i/>
          <w:noProof/>
          <w:color w:val="000000" w:themeColor="text1"/>
          <w:sz w:val="26"/>
          <w:szCs w:val="26"/>
          <w:lang w:val="vi-VN"/>
        </w:rPr>
        <w:t>4. Biện pháp khác nhằm tăng cường tác động tích cực của tập trung kinh tế.”</w:t>
      </w:r>
    </w:p>
    <w:p w14:paraId="6B7C640C" w14:textId="77777777" w:rsidR="00835332" w:rsidRPr="00ED5E38" w:rsidRDefault="00835332" w:rsidP="00FD5E31">
      <w:pPr>
        <w:widowControl w:val="0"/>
        <w:spacing w:before="120" w:after="120" w:line="340" w:lineRule="exact"/>
        <w:ind w:firstLine="720"/>
        <w:jc w:val="both"/>
        <w:rPr>
          <w:bCs/>
          <w:iCs/>
          <w:noProof/>
          <w:color w:val="000000" w:themeColor="text1"/>
          <w:sz w:val="26"/>
          <w:szCs w:val="26"/>
          <w:lang w:val="vi-VN"/>
        </w:rPr>
      </w:pPr>
      <w:r w:rsidRPr="008D1468">
        <w:rPr>
          <w:bCs/>
          <w:iCs/>
          <w:noProof/>
          <w:color w:val="000000" w:themeColor="text1"/>
          <w:sz w:val="26"/>
          <w:szCs w:val="26"/>
          <w:lang w:val="vi-VN"/>
        </w:rPr>
        <w:t xml:space="preserve">Đối với trường hợp UBCTQG ban hành quyết định về việc tập trung kinh tế có điều kiện, pháp luật hiện hành không có quy định về thời hạn thực hiện các điều kiện theo quyết định này dẫn tới một số trường hợp khi bối cảnh đã thay đổi, việc áp dụng các điều kiện này không còn phù hợp, doanh nghiệp vẫn phải thực hiện. Do đó, việc bổ sung quy định tại Điều 42 Luật Cạnh tranh theo hướng quy định về thời hạn thực hiện </w:t>
      </w:r>
      <w:r w:rsidRPr="008D1468">
        <w:rPr>
          <w:bCs/>
          <w:iCs/>
          <w:noProof/>
          <w:color w:val="000000" w:themeColor="text1"/>
          <w:sz w:val="26"/>
          <w:szCs w:val="26"/>
          <w:lang w:val="vi-VN"/>
        </w:rPr>
        <w:lastRenderedPageBreak/>
        <w:t>quyết định về việc tập trung kinh tế có</w:t>
      </w:r>
      <w:r w:rsidRPr="00ED5E38">
        <w:rPr>
          <w:bCs/>
          <w:iCs/>
          <w:noProof/>
          <w:color w:val="000000" w:themeColor="text1"/>
          <w:sz w:val="26"/>
          <w:szCs w:val="26"/>
          <w:lang w:val="vi-VN"/>
        </w:rPr>
        <w:t xml:space="preserve"> điều kiện là cần thiết.  </w:t>
      </w:r>
    </w:p>
    <w:p w14:paraId="641D2406" w14:textId="5C8CC615" w:rsidR="00ED5C78" w:rsidRPr="00ED5E38" w:rsidRDefault="00ED5C78" w:rsidP="006400D7">
      <w:pPr>
        <w:pStyle w:val="Heading1"/>
      </w:pPr>
      <w:r w:rsidRPr="00ED5E38">
        <w:t>2.2. Mục tiêu xây dựng</w:t>
      </w:r>
    </w:p>
    <w:p w14:paraId="4CFBF8CF" w14:textId="77777777" w:rsidR="00ED5C78" w:rsidRPr="00ED5E38" w:rsidRDefault="00ED5C78" w:rsidP="00FD5E31">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nhất,</w:t>
      </w:r>
      <w:r w:rsidRPr="00ED5E38">
        <w:rPr>
          <w:noProof/>
          <w:color w:val="000000" w:themeColor="text1"/>
          <w:sz w:val="26"/>
          <w:szCs w:val="26"/>
          <w:lang w:val="vi-VN"/>
        </w:rPr>
        <w:t xml:space="preserve"> khắc phục tình trạng chồng chéo, mâu thuẫn, thiếu thống nhất giữa các luật có liên quan; bảo đảm sự tương thích giữa pháp luật về thương mại, cạnh tranh, đầu tư, dân sự và các pháp luật chuyên ngành, qua đó nâng cao tính rõ ràng, minh bạch và khả năng áp dụng trong thực tiễn.</w:t>
      </w:r>
    </w:p>
    <w:p w14:paraId="7984F5FC" w14:textId="77777777" w:rsidR="00ED5C78" w:rsidRPr="00ED5E38" w:rsidRDefault="00ED5C78" w:rsidP="00FD5E31">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 xml:space="preserve">Thứ hai, </w:t>
      </w:r>
      <w:r w:rsidRPr="00ED5E38">
        <w:rPr>
          <w:noProof/>
          <w:color w:val="000000" w:themeColor="text1"/>
          <w:sz w:val="26"/>
          <w:szCs w:val="26"/>
          <w:lang w:val="vi-VN"/>
        </w:rPr>
        <w:t>tháo gỡ khó khăn, vướng mắc cho hoạt động sản xuất, kinh doanh của doanh nghiệp, tạo thuận lợi cho thương mại trong nước và thương mại quốc tế.</w:t>
      </w:r>
    </w:p>
    <w:p w14:paraId="7CDDCE1D" w14:textId="77777777" w:rsidR="00ED5C78" w:rsidRPr="00ED5E38" w:rsidRDefault="00ED5C78" w:rsidP="00FD5E31">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ba,</w:t>
      </w:r>
      <w:r w:rsidRPr="00ED5E38">
        <w:rPr>
          <w:noProof/>
          <w:color w:val="000000" w:themeColor="text1"/>
          <w:sz w:val="26"/>
          <w:szCs w:val="26"/>
          <w:lang w:val="vi-VN"/>
        </w:rPr>
        <w:t xml:space="preserve"> bảo đảm môi trường cạnh tranh lành mạnh, bình đẳng giữa các thành phần kinh tế.</w:t>
      </w:r>
    </w:p>
    <w:p w14:paraId="64391B41" w14:textId="77777777" w:rsidR="00ED5C78" w:rsidRPr="00ED5E38" w:rsidRDefault="00ED5C78" w:rsidP="00FD5E31">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tư,</w:t>
      </w:r>
      <w:r w:rsidRPr="00ED5E38">
        <w:rPr>
          <w:noProof/>
          <w:color w:val="000000" w:themeColor="text1"/>
          <w:sz w:val="26"/>
          <w:szCs w:val="26"/>
          <w:lang w:val="vi-VN"/>
        </w:rPr>
        <w:t xml:space="preserve"> tăng cường bảo vệ quyền và lợi ích hợp pháp của người tiêu dùng trong bối cảnh phát triển kinh tế số và thương mại điện tử.</w:t>
      </w:r>
    </w:p>
    <w:p w14:paraId="7DD77C07" w14:textId="77777777" w:rsidR="00ED5C78" w:rsidRPr="00ED5E38" w:rsidRDefault="00ED5C78" w:rsidP="00FD5E31">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năm,</w:t>
      </w:r>
      <w:r w:rsidRPr="00ED5E38">
        <w:rPr>
          <w:noProof/>
          <w:color w:val="000000" w:themeColor="text1"/>
          <w:sz w:val="26"/>
          <w:szCs w:val="26"/>
          <w:lang w:val="vi-VN"/>
        </w:rPr>
        <w:t xml:space="preserve"> bảo đảm phù hợp với Hiến pháp, đáp ứng yêu cầu hội nhập kinh tế quốc tế và thực hiện đầy đủ các cam kết quốc tế của Việt Nam.</w:t>
      </w:r>
    </w:p>
    <w:p w14:paraId="4EBE1C91" w14:textId="77777777" w:rsidR="00ED5C78" w:rsidRPr="00ED5E38" w:rsidRDefault="00ED5C78" w:rsidP="00D31383">
      <w:pPr>
        <w:tabs>
          <w:tab w:val="right" w:leader="dot" w:pos="7920"/>
        </w:tabs>
        <w:spacing w:before="120" w:after="120" w:line="340" w:lineRule="exact"/>
        <w:ind w:firstLine="720"/>
        <w:jc w:val="both"/>
        <w:rPr>
          <w:noProof/>
          <w:color w:val="000000" w:themeColor="text1"/>
          <w:sz w:val="26"/>
          <w:szCs w:val="26"/>
          <w:lang w:val="vi-VN"/>
        </w:rPr>
      </w:pPr>
      <w:r w:rsidRPr="00FD5E31">
        <w:rPr>
          <w:i/>
          <w:iCs/>
          <w:noProof/>
          <w:color w:val="000000" w:themeColor="text1"/>
          <w:sz w:val="26"/>
          <w:szCs w:val="26"/>
          <w:lang w:val="vi-VN"/>
        </w:rPr>
        <w:t>Thứ sáu,</w:t>
      </w:r>
      <w:r w:rsidRPr="00ED5E38">
        <w:rPr>
          <w:noProof/>
          <w:color w:val="000000" w:themeColor="text1"/>
          <w:sz w:val="26"/>
          <w:szCs w:val="26"/>
          <w:lang w:val="vi-VN"/>
        </w:rPr>
        <w:t xml:space="preserve"> nâng cao hiệu lực, hiệu quả quản lý nhà nước trong các lĩnh vực thương mại, cạnh tranh và bảo vệ người tiêu dùng.</w:t>
      </w:r>
    </w:p>
    <w:p w14:paraId="6E5AC276" w14:textId="77777777" w:rsidR="00ED5C78" w:rsidRPr="00ED5E38" w:rsidRDefault="00ED5C78" w:rsidP="00D31383">
      <w:pPr>
        <w:pStyle w:val="Heading1"/>
        <w:spacing w:line="340" w:lineRule="exact"/>
      </w:pPr>
      <w:r w:rsidRPr="00ED5E38">
        <w:t>II. ĐÁNH GIÁ TÁC ĐỘNG CỦA CHÍNH SÁCH</w:t>
      </w:r>
    </w:p>
    <w:p w14:paraId="2AE31644" w14:textId="386688E3" w:rsidR="00ED5C78" w:rsidRPr="00ED5E38" w:rsidRDefault="00ED5C78" w:rsidP="00D31383">
      <w:pPr>
        <w:pStyle w:val="Heading1"/>
        <w:spacing w:line="340" w:lineRule="exact"/>
      </w:pPr>
      <w:r w:rsidRPr="00ED5E38">
        <w:t>1. Chính sách 1: Về đẩy mạnh phân cấp, phân quyền kết hợp nội dung cải cách thủ tục hành chính, điều kiện đầu tư kinh doanh</w:t>
      </w:r>
    </w:p>
    <w:p w14:paraId="5F2EB0FC" w14:textId="77777777" w:rsidR="00A46A62" w:rsidRPr="00ED5E38" w:rsidRDefault="00A46A62" w:rsidP="00D31383">
      <w:pPr>
        <w:tabs>
          <w:tab w:val="left" w:pos="709"/>
        </w:tabs>
        <w:spacing w:before="120" w:after="120" w:line="340" w:lineRule="exact"/>
        <w:ind w:firstLine="720"/>
        <w:jc w:val="both"/>
        <w:rPr>
          <w:noProof/>
          <w:color w:val="000000" w:themeColor="text1"/>
          <w:sz w:val="26"/>
          <w:szCs w:val="26"/>
          <w:lang w:val="vi-VN"/>
        </w:rPr>
      </w:pPr>
      <w:r w:rsidRPr="00ED5E38">
        <w:rPr>
          <w:b/>
          <w:noProof/>
          <w:color w:val="000000" w:themeColor="text1"/>
          <w:sz w:val="26"/>
          <w:szCs w:val="26"/>
          <w:lang w:val="vi-VN"/>
        </w:rPr>
        <w:t>Nội dung:</w:t>
      </w:r>
      <w:r w:rsidRPr="00ED5E38">
        <w:rPr>
          <w:noProof/>
          <w:color w:val="000000" w:themeColor="text1"/>
          <w:sz w:val="26"/>
          <w:szCs w:val="26"/>
          <w:lang w:val="vi-VN"/>
        </w:rPr>
        <w:t xml:space="preserve"> Phân quyền cấp phép gia công hàng hóa đối với hàng hóa xuất khẩu, nhập khẩu theo giấy phép từ Bộ Công Thương sang Ủy ban nhân dân tỉnh.</w:t>
      </w:r>
    </w:p>
    <w:p w14:paraId="64D9E9AB" w14:textId="77777777" w:rsidR="00374E52" w:rsidRPr="00ED5E38" w:rsidRDefault="00ED5C78" w:rsidP="00D31383">
      <w:pPr>
        <w:pStyle w:val="Heading1"/>
        <w:spacing w:line="340" w:lineRule="exact"/>
      </w:pPr>
      <w:r w:rsidRPr="00ED5E38">
        <w:t xml:space="preserve">1.1. </w:t>
      </w:r>
      <w:r w:rsidR="00374E52" w:rsidRPr="00ED5E38">
        <w:t>Đánh giá tác động</w:t>
      </w:r>
    </w:p>
    <w:p w14:paraId="7203F19D" w14:textId="1BA79810" w:rsidR="00A11A66" w:rsidRPr="0027142B" w:rsidRDefault="00A11A66" w:rsidP="00D31383">
      <w:pPr>
        <w:pStyle w:val="Heading2"/>
      </w:pPr>
      <w:r w:rsidRPr="0027142B">
        <w:t xml:space="preserve">a) Giải pháp 1: Phân </w:t>
      </w:r>
      <w:r w:rsidR="002964EC" w:rsidRPr="0027142B">
        <w:t xml:space="preserve">quyền </w:t>
      </w:r>
      <w:r w:rsidRPr="0027142B">
        <w:t xml:space="preserve">việc cấp phép gia công hàng hóa thuộc diện xuất khẩu, nhập khẩu theo giấy phép từ Bộ Công Thương sang Ủy ban nhân dân cấp tỉnh </w:t>
      </w:r>
      <w:r w:rsidR="002964EC" w:rsidRPr="0027142B">
        <w:t>quy định</w:t>
      </w:r>
      <w:r w:rsidRPr="0027142B">
        <w:t xml:space="preserve"> tại khoản 2 Điều 51 Luật Quản lý ngoại thương</w:t>
      </w:r>
    </w:p>
    <w:p w14:paraId="1C59066A" w14:textId="77777777" w:rsidR="00A11A66" w:rsidRPr="00ED5E38" w:rsidRDefault="00A11A66" w:rsidP="00D31383">
      <w:pPr>
        <w:tabs>
          <w:tab w:val="right" w:leader="dot" w:pos="7920"/>
        </w:tabs>
        <w:spacing w:before="120" w:after="120" w:line="340" w:lineRule="exact"/>
        <w:ind w:firstLine="720"/>
        <w:jc w:val="both"/>
        <w:rPr>
          <w:b/>
          <w:bCs/>
          <w:i/>
          <w:iCs/>
          <w:noProof/>
          <w:color w:val="000000" w:themeColor="text1"/>
          <w:sz w:val="26"/>
          <w:szCs w:val="26"/>
          <w:lang w:val="vi-VN"/>
        </w:rPr>
      </w:pPr>
      <w:r w:rsidRPr="00ED5E38">
        <w:rPr>
          <w:b/>
          <w:bCs/>
          <w:i/>
          <w:iCs/>
          <w:noProof/>
          <w:color w:val="000000" w:themeColor="text1"/>
          <w:sz w:val="26"/>
          <w:szCs w:val="26"/>
          <w:lang w:val="vi-VN"/>
        </w:rPr>
        <w:t>- Tác động đối với hệ thống pháp luật:</w:t>
      </w:r>
    </w:p>
    <w:p w14:paraId="1E57CD94" w14:textId="77777777" w:rsidR="00A11A66" w:rsidRPr="00ED5E38" w:rsidRDefault="00A11A66" w:rsidP="00D31383">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Về tính hợp Hiến</w:t>
      </w:r>
    </w:p>
    <w:p w14:paraId="3CA76BBD" w14:textId="08AA4FD4" w:rsidR="00A11A66" w:rsidRPr="00FD5E31" w:rsidRDefault="00A11A66" w:rsidP="00D31383">
      <w:pPr>
        <w:spacing w:before="120" w:after="120" w:line="340" w:lineRule="exact"/>
        <w:ind w:firstLine="720"/>
        <w:jc w:val="both"/>
        <w:rPr>
          <w:i/>
          <w:iCs/>
          <w:noProof/>
          <w:color w:val="000000" w:themeColor="text1"/>
          <w:sz w:val="26"/>
          <w:szCs w:val="26"/>
          <w:lang w:val="vi-VN"/>
        </w:rPr>
      </w:pPr>
      <w:r w:rsidRPr="00ED5E38">
        <w:rPr>
          <w:noProof/>
          <w:color w:val="000000" w:themeColor="text1"/>
          <w:sz w:val="26"/>
          <w:szCs w:val="26"/>
          <w:lang w:val="vi-VN"/>
        </w:rPr>
        <w:t xml:space="preserve"> Điều 52 Hiến pháp quy định N</w:t>
      </w:r>
      <w:r w:rsidRPr="00ED5E38">
        <w:rPr>
          <w:noProof/>
          <w:color w:val="000000" w:themeColor="text1"/>
          <w:sz w:val="26"/>
          <w:szCs w:val="26"/>
          <w:shd w:val="clear" w:color="auto" w:fill="FFFFFF"/>
          <w:lang w:val="vi-VN"/>
        </w:rPr>
        <w:t>hà nước có quyền thực hiện phân công, phân cấp, phân quyền trong các hoạt động quản lý nhà nước cụ thể</w:t>
      </w:r>
      <w:r w:rsidRPr="00ED5E38">
        <w:rPr>
          <w:i/>
          <w:iCs/>
          <w:noProof/>
          <w:color w:val="000000" w:themeColor="text1"/>
          <w:sz w:val="26"/>
          <w:szCs w:val="26"/>
          <w:lang w:val="vi-VN"/>
        </w:rPr>
        <w:t>:</w:t>
      </w:r>
      <w:r w:rsidR="00FD5E31" w:rsidRPr="00FD5E31">
        <w:rPr>
          <w:i/>
          <w:iCs/>
          <w:noProof/>
          <w:color w:val="000000" w:themeColor="text1"/>
          <w:sz w:val="26"/>
          <w:szCs w:val="26"/>
          <w:lang w:val="vi-VN"/>
        </w:rPr>
        <w:t xml:space="preserve"> </w:t>
      </w:r>
      <w:r w:rsidRPr="00ED5E38">
        <w:rPr>
          <w:i/>
          <w:iCs/>
          <w:noProof/>
          <w:color w:val="000000" w:themeColor="text1"/>
          <w:sz w:val="26"/>
          <w:szCs w:val="26"/>
          <w:lang w:val="vi-VN"/>
        </w:rPr>
        <w:t>“</w:t>
      </w:r>
      <w:r w:rsidRPr="00ED5E38">
        <w:rPr>
          <w:i/>
          <w:iCs/>
          <w:noProof/>
          <w:color w:val="000000" w:themeColor="text1"/>
          <w:sz w:val="26"/>
          <w:szCs w:val="26"/>
          <w:shd w:val="clear" w:color="auto" w:fill="FFFFFF"/>
          <w:lang w:val="vi-VN"/>
        </w:rPr>
        <w:t>Nhà nước xây dựng và hoàn thiện thể chế kinh tế, điều tiết nền kinh tế trên cơ sở tôn trọng các quy luật thị trường; thực hiện phân công, phân cấp, phân quyền trong quản lý nhà nước; thúc đẩy liên kết kinh tế vùng, bảo đảm tính thống nhất của nền kinh tế quốc dân.”</w:t>
      </w:r>
    </w:p>
    <w:p w14:paraId="7DDD0979" w14:textId="77777777" w:rsidR="00A11A66" w:rsidRPr="008D1468" w:rsidRDefault="00A11A66" w:rsidP="00D31383">
      <w:pPr>
        <w:spacing w:before="120" w:after="120" w:line="340" w:lineRule="exact"/>
        <w:ind w:firstLine="720"/>
        <w:jc w:val="both"/>
        <w:rPr>
          <w:bCs/>
          <w:noProof/>
          <w:color w:val="000000" w:themeColor="text1"/>
          <w:spacing w:val="-2"/>
          <w:sz w:val="26"/>
          <w:szCs w:val="26"/>
          <w:lang w:val="vi-VN"/>
        </w:rPr>
      </w:pPr>
      <w:r w:rsidRPr="00ED5E38">
        <w:rPr>
          <w:noProof/>
          <w:color w:val="000000" w:themeColor="text1"/>
          <w:sz w:val="26"/>
          <w:szCs w:val="26"/>
          <w:shd w:val="clear" w:color="auto" w:fill="FFFFFF"/>
          <w:lang w:val="vi-VN"/>
        </w:rPr>
        <w:t xml:space="preserve"> </w:t>
      </w:r>
      <w:r w:rsidRPr="008D1468">
        <w:rPr>
          <w:bCs/>
          <w:noProof/>
          <w:color w:val="000000" w:themeColor="text1"/>
          <w:spacing w:val="-2"/>
          <w:sz w:val="26"/>
          <w:szCs w:val="26"/>
          <w:lang w:val="vi-VN"/>
        </w:rPr>
        <w:t>Do đó, việc đề xuất phân quyền cho chính quyền địa phương tại Luật là phù hợp và không trái với Hiến pháp. Đồng thời, việc đề xuất phân quyền nêu trên không hạn chế quyền con người, quyền và nghĩa vụ cơ bản của công dân được quy định trong Hiến pháp.</w:t>
      </w:r>
    </w:p>
    <w:p w14:paraId="23C162AA" w14:textId="77777777" w:rsidR="00A11A66" w:rsidRPr="00ED5E38" w:rsidRDefault="00A11A66" w:rsidP="00D31383">
      <w:pPr>
        <w:tabs>
          <w:tab w:val="right" w:leader="dot" w:pos="7920"/>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Về tính hợp pháp, tính thống nhất của chính sách với hệ thống pháp luật</w:t>
      </w:r>
    </w:p>
    <w:p w14:paraId="4CF2E966" w14:textId="77777777" w:rsidR="00A11A66" w:rsidRPr="00ED5E38" w:rsidRDefault="00A11A66" w:rsidP="00D31383">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lastRenderedPageBreak/>
        <w:t xml:space="preserve">- Việc đề xuất phân quyền nêu trên có tác động tích cực: thực hiện chủ trương đẩy mạnh phân cấp, phân quyền cho chính quyền địa phương, nâng cao hiệu quả quản lý nhà nước về gia công hàng hóa gắn với địa phương, tăng tính chủ động và trách nhiệm của chính quyền địa phương trong quản lý ngoại thương tại địa bàn. Các Bộ tập trung xây dựng thể chế, chính sách và kiểm tra, giám sát việc thực hiện. Giảm thời gian và chi phí tuân thủ cho doanh nghiệp thực hiện gia công hàng hóa. </w:t>
      </w:r>
    </w:p>
    <w:p w14:paraId="1DF0DF80" w14:textId="77777777" w:rsidR="00A11A66" w:rsidRPr="00ED5E38" w:rsidRDefault="00A11A66" w:rsidP="00D31383">
      <w:pPr>
        <w:tabs>
          <w:tab w:val="right" w:leader="dot" w:pos="7920"/>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Hiện nay, việc phân quyền được quy định tại Luật Tổ chức Chính phủ và Luật Chính quyền địa phương và Nghị định số 146/2018/NĐ-CP cụ thể như sau:</w:t>
      </w:r>
    </w:p>
    <w:p w14:paraId="3CBAE520" w14:textId="77777777" w:rsidR="00A11A66" w:rsidRPr="00ED5E38" w:rsidRDefault="00A11A66" w:rsidP="00D31383">
      <w:pPr>
        <w:spacing w:before="120" w:after="120" w:line="340" w:lineRule="exact"/>
        <w:ind w:firstLine="720"/>
        <w:jc w:val="both"/>
        <w:rPr>
          <w:i/>
          <w:iCs/>
          <w:noProof/>
          <w:color w:val="000000" w:themeColor="text1"/>
          <w:sz w:val="26"/>
          <w:szCs w:val="26"/>
          <w:shd w:val="clear" w:color="auto" w:fill="FFFFFF"/>
          <w:lang w:val="vi-VN"/>
        </w:rPr>
      </w:pPr>
      <w:r w:rsidRPr="00ED5E38">
        <w:rPr>
          <w:noProof/>
          <w:color w:val="000000" w:themeColor="text1"/>
          <w:sz w:val="26"/>
          <w:szCs w:val="26"/>
          <w:lang w:val="vi-VN"/>
        </w:rPr>
        <w:t xml:space="preserve">Khoản 1 Điều 7 Luật Tổ chức Chính phủ quy định: </w:t>
      </w:r>
      <w:r w:rsidRPr="00ED5E38">
        <w:rPr>
          <w:i/>
          <w:iCs/>
          <w:noProof/>
          <w:color w:val="000000" w:themeColor="text1"/>
          <w:sz w:val="26"/>
          <w:szCs w:val="26"/>
          <w:shd w:val="clear" w:color="auto" w:fill="FFFFFF"/>
          <w:lang w:val="vi-VN"/>
        </w:rPr>
        <w:t>“Phân quyền là việc Quốc hội quy định nhiệm vụ, quyền hạn của cơ quan, tổ chức, cá nhân trong luật, nghị quyết, bảo đảm phù hợp với nguyên tắc phân định thẩm quyền quy định tại Luật này, </w:t>
      </w:r>
      <w:hyperlink r:id="rId9" w:tgtFrame="_blank" w:history="1">
        <w:r w:rsidRPr="00ED5E38">
          <w:rPr>
            <w:i/>
            <w:iCs/>
            <w:noProof/>
            <w:color w:val="000000" w:themeColor="text1"/>
            <w:sz w:val="26"/>
            <w:szCs w:val="26"/>
            <w:lang w:val="vi-VN"/>
          </w:rPr>
          <w:t>Luật Tổ chức Quốc hội</w:t>
        </w:r>
      </w:hyperlink>
      <w:r w:rsidRPr="00ED5E38">
        <w:rPr>
          <w:i/>
          <w:iCs/>
          <w:noProof/>
          <w:color w:val="000000" w:themeColor="text1"/>
          <w:sz w:val="26"/>
          <w:szCs w:val="26"/>
          <w:shd w:val="clear" w:color="auto" w:fill="FFFFFF"/>
          <w:lang w:val="vi-VN"/>
        </w:rPr>
        <w:t>, </w:t>
      </w:r>
      <w:hyperlink r:id="rId10" w:tgtFrame="_blank" w:history="1">
        <w:r w:rsidRPr="00ED5E38">
          <w:rPr>
            <w:i/>
            <w:iCs/>
            <w:noProof/>
            <w:color w:val="000000" w:themeColor="text1"/>
            <w:sz w:val="26"/>
            <w:szCs w:val="26"/>
            <w:lang w:val="vi-VN"/>
          </w:rPr>
          <w:t>Luật Tổ chức chính quyền địa phương</w:t>
        </w:r>
      </w:hyperlink>
      <w:r w:rsidRPr="00ED5E38">
        <w:rPr>
          <w:i/>
          <w:iCs/>
          <w:noProof/>
          <w:color w:val="000000" w:themeColor="text1"/>
          <w:sz w:val="26"/>
          <w:szCs w:val="26"/>
          <w:shd w:val="clear" w:color="auto" w:fill="FFFFFF"/>
          <w:lang w:val="vi-VN"/>
        </w:rPr>
        <w:t> và các luật khác có liên quan.”</w:t>
      </w:r>
    </w:p>
    <w:p w14:paraId="68F4DC3B" w14:textId="77777777" w:rsidR="00A11A66" w:rsidRPr="00ED5E38" w:rsidRDefault="00A11A66" w:rsidP="00D31383">
      <w:pPr>
        <w:spacing w:before="120" w:after="120" w:line="340" w:lineRule="exact"/>
        <w:ind w:firstLine="720"/>
        <w:jc w:val="both"/>
        <w:rPr>
          <w:i/>
          <w:iCs/>
          <w:noProof/>
          <w:color w:val="000000" w:themeColor="text1"/>
          <w:sz w:val="26"/>
          <w:szCs w:val="26"/>
          <w:shd w:val="clear" w:color="auto" w:fill="FFFFFF"/>
          <w:lang w:val="vi-VN"/>
        </w:rPr>
      </w:pPr>
      <w:r w:rsidRPr="00ED5E38">
        <w:rPr>
          <w:noProof/>
          <w:color w:val="000000" w:themeColor="text1"/>
          <w:sz w:val="26"/>
          <w:szCs w:val="26"/>
          <w:shd w:val="clear" w:color="auto" w:fill="FFFFFF"/>
          <w:lang w:val="vi-VN"/>
        </w:rPr>
        <w:t xml:space="preserve"> Điều 12 Luật Tổ chức chính quyền địa phương năm 2025 quy định: </w:t>
      </w:r>
      <w:r w:rsidRPr="00ED5E38">
        <w:rPr>
          <w:i/>
          <w:iCs/>
          <w:noProof/>
          <w:color w:val="000000" w:themeColor="text1"/>
          <w:sz w:val="26"/>
          <w:szCs w:val="26"/>
          <w:shd w:val="clear" w:color="auto" w:fill="FFFFFF"/>
          <w:lang w:val="vi-VN"/>
        </w:rPr>
        <w:t>“1.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w:t>
      </w:r>
    </w:p>
    <w:p w14:paraId="14B1BAF2" w14:textId="08C53A2E"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Nghị định số 146/2025/NĐ-CP đã phân quyền thẩm quyền thực hiện các nhiệm vụ cấp phép gia công hàng hóa thuộc danh mục hàng hóa cấm xuất khẩu, cấm nhập khẩu, tạm ngừng xuất khẩu, tạm ngừng nhập khẩu quy định tại khoản 3 Điều 51 Luật Quản lý ngoại thương từ Thủ tướng Chính phủ sang Bộ, cơ quan ngang bộ có thẩm quyền quản lý.</w:t>
      </w:r>
    </w:p>
    <w:p w14:paraId="015DA4E5" w14:textId="1155B91A"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Qua rà soát các pháp luật chuyên ngành có liên quan thì không có quy định cụ thể về cấp phép gia công hàng hóa cũng như phân quyền cấp phép gia công hàng hóa</w:t>
      </w:r>
      <w:r w:rsidR="002964EC" w:rsidRPr="00ED5E38">
        <w:rPr>
          <w:noProof/>
          <w:color w:val="000000" w:themeColor="text1"/>
          <w:sz w:val="26"/>
          <w:szCs w:val="26"/>
          <w:lang w:val="vi-VN"/>
        </w:rPr>
        <w:t xml:space="preserve"> thuộc danh mục quản lý theo giấy phép xuất khẩu, nhập khẩu.</w:t>
      </w:r>
    </w:p>
    <w:p w14:paraId="008B838B" w14:textId="20AACB60"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bCs/>
          <w:noProof/>
          <w:color w:val="000000" w:themeColor="text1"/>
          <w:sz w:val="26"/>
          <w:szCs w:val="26"/>
          <w:lang w:val="vi-VN"/>
        </w:rPr>
      </w:pPr>
      <w:r w:rsidRPr="00ED5E38">
        <w:rPr>
          <w:noProof/>
          <w:color w:val="000000" w:themeColor="text1"/>
          <w:sz w:val="26"/>
          <w:szCs w:val="26"/>
          <w:lang w:val="vi-VN"/>
        </w:rPr>
        <w:t xml:space="preserve">Do đó, việc đề xuất phân quyền nêu trên không có trùng lặp hoặc mâu thuẫn với các quy định pháp luật hiện hành. Chính sách không tạo ra xung đột với pháp luật chuyên ngành hay quy phạm pháp luật chung, </w:t>
      </w:r>
      <w:r w:rsidRPr="00ED5E38">
        <w:rPr>
          <w:bCs/>
          <w:noProof/>
          <w:color w:val="000000" w:themeColor="text1"/>
          <w:sz w:val="26"/>
          <w:szCs w:val="26"/>
          <w:lang w:val="vi-VN"/>
        </w:rPr>
        <w:t>đảm bảo phù hợp và thống nhất trong hệ thống pháp luật.</w:t>
      </w:r>
    </w:p>
    <w:p w14:paraId="03420E45" w14:textId="0BE97E14" w:rsidR="00A11A66" w:rsidRPr="00ED5E38" w:rsidRDefault="002964EC"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Việc</w:t>
      </w:r>
      <w:r w:rsidR="00A11A66" w:rsidRPr="00ED5E38">
        <w:rPr>
          <w:bCs/>
          <w:noProof/>
          <w:color w:val="000000" w:themeColor="text1"/>
          <w:sz w:val="26"/>
          <w:szCs w:val="26"/>
          <w:lang w:val="vi-VN"/>
        </w:rPr>
        <w:t xml:space="preserve"> đề xuất phân quyền nêu trên yêu cầu phải sửa đổi, bổ sung các văn bản quy phạm pháp luật để đảm bảo cơ sở pháp </w:t>
      </w:r>
      <w:r w:rsidRPr="00ED5E38">
        <w:rPr>
          <w:bCs/>
          <w:noProof/>
          <w:color w:val="000000" w:themeColor="text1"/>
          <w:sz w:val="26"/>
          <w:szCs w:val="26"/>
          <w:lang w:val="vi-VN"/>
        </w:rPr>
        <w:t xml:space="preserve">lý </w:t>
      </w:r>
      <w:r w:rsidR="00A11A66" w:rsidRPr="00ED5E38">
        <w:rPr>
          <w:bCs/>
          <w:noProof/>
          <w:color w:val="000000" w:themeColor="text1"/>
          <w:sz w:val="26"/>
          <w:szCs w:val="26"/>
          <w:lang w:val="vi-VN"/>
        </w:rPr>
        <w:t>và hướng dẫn thực hiện, đồng thời cần hoàn thiện cơ chế giám sát để tránh buông lỏng quản lý, cụ thể sửa đổi, bổ sung quy định tại Nghị định số 69/2018/NĐ-CP về thủ tục cấp phép gia công hàng hóa và bổ sng quy định kiểm tra, giám sát cơ quan được phân quyền quản lý... Ủy ban nhân dân tỉnh tăng trách nhiệm quản lý, khối lượng công việc tăng, theo đó phải tăng nguồn lực và phải nâng cao năng lực của công chức, đảm bảo cở sở, vật chất kỹ thuật để triển khai thực hiện.</w:t>
      </w:r>
    </w:p>
    <w:p w14:paraId="2C52BC93" w14:textId="5348ECCD" w:rsidR="002964EC" w:rsidRPr="00ED5E38" w:rsidRDefault="002964EC"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 xml:space="preserve">Tuy nhiên, qua theo dõi tình hình thực hiện, đa số doanh nghiệp Việt Nam thực hiện gia công hàng hóa không diện quản lý theo giấy phép (như gia công sản phẩm dệt may, da giày,…) hoặc gia công hàng hóa thuộc diện quản lý theo điều kiện (gia công </w:t>
      </w:r>
      <w:r w:rsidRPr="00ED5E38">
        <w:rPr>
          <w:bCs/>
          <w:noProof/>
          <w:color w:val="000000" w:themeColor="text1"/>
          <w:sz w:val="26"/>
          <w:szCs w:val="26"/>
          <w:lang w:val="vi-VN"/>
        </w:rPr>
        <w:lastRenderedPageBreak/>
        <w:t>sản phẩm thuốc lá, dược phẩm,…) Các trường hợp gia công hàng hóa thuộc diện quản lý theo giấy phép xuất khẩu, nhập khẩu trên thực tế chưa phát sinh từ trước đến nay. Mặc dù vậy, do đây là các mặt hàng cần quản lý, việc duy trì quy định cơ quan có thẩm quyền cấp phép trước khi thương nhân thực hiện gia công hàng hóa là cần thiết.</w:t>
      </w:r>
    </w:p>
    <w:p w14:paraId="6FD04195" w14:textId="02160909" w:rsidR="007A7754"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Chính sách sau khi được ban hành đảm bảo tính khả thi về mặt pháp lý, sẽ thực hiện được ngay, sau khi Luật được Quốc hội thông qua và Chính phủ sửa đổi, bổ sung cơ quan có thẩm quyền tiếp nhận hồ sơ tại Nghị định của Chính phủ (sửa đổi, bổ sung nghị định số 69/2018/NĐ-CP- Nghị định này đã quy định hồ sơ, trình tự, thủ tục cấp phép này).</w:t>
      </w:r>
    </w:p>
    <w:p w14:paraId="20C69AEB" w14:textId="2B58EEC9"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Ủy ban nhân dân tỉnh căn cứ danh mục hàng hóa xuất khẩu, nhập khẩu theo giấy phép được quy định tại phụ lục II</w:t>
      </w:r>
      <w:r w:rsidR="002964EC" w:rsidRPr="00ED5E38">
        <w:rPr>
          <w:bCs/>
          <w:noProof/>
          <w:color w:val="000000" w:themeColor="text1"/>
          <w:sz w:val="26"/>
          <w:szCs w:val="26"/>
          <w:lang w:val="vi-VN"/>
        </w:rPr>
        <w:t>I</w:t>
      </w:r>
      <w:r w:rsidRPr="00ED5E38">
        <w:rPr>
          <w:bCs/>
          <w:noProof/>
          <w:color w:val="000000" w:themeColor="text1"/>
          <w:sz w:val="26"/>
          <w:szCs w:val="26"/>
          <w:lang w:val="vi-VN"/>
        </w:rPr>
        <w:t xml:space="preserve"> ban hành kèm theo Nghị định số 69/2018/NĐ-CP và tại các pháp luật chuyên ngành. Hiện nay, Bộ Công Thương đã trình Chính phủ ký ban hành Nghị định thay thế Nghị định số 69/2018/NĐ-CP, theo đó </w:t>
      </w:r>
      <w:r w:rsidR="002964EC" w:rsidRPr="00ED5E38">
        <w:rPr>
          <w:bCs/>
          <w:noProof/>
          <w:color w:val="000000" w:themeColor="text1"/>
          <w:sz w:val="26"/>
          <w:szCs w:val="26"/>
          <w:lang w:val="vi-VN"/>
        </w:rPr>
        <w:t>rà soát văn bản quy phạm pháp luật chuyên ngành để cập nhật bổ sung các mặt hàng xuất khẩu, nhập khẩu theo giấy phép, làm cơ sở xem xét cấp phép gia công cho thương nhân.</w:t>
      </w:r>
    </w:p>
    <w:p w14:paraId="731466FC" w14:textId="2FB166E4"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b/>
          <w:i/>
          <w:noProof/>
          <w:color w:val="000000" w:themeColor="text1"/>
          <w:sz w:val="26"/>
          <w:szCs w:val="26"/>
          <w:lang w:val="vi-VN"/>
        </w:rPr>
      </w:pPr>
      <w:r w:rsidRPr="00ED5E38">
        <w:rPr>
          <w:b/>
          <w:i/>
          <w:noProof/>
          <w:color w:val="000000" w:themeColor="text1"/>
          <w:sz w:val="26"/>
          <w:szCs w:val="26"/>
          <w:lang w:val="vi-VN"/>
        </w:rPr>
        <w:t>- Tác động đối với các điều ước quốc tế có liên quan:</w:t>
      </w:r>
    </w:p>
    <w:p w14:paraId="5AE3B7A4" w14:textId="6972C59F"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b/>
          <w:noProof/>
          <w:color w:val="000000" w:themeColor="text1"/>
          <w:sz w:val="26"/>
          <w:szCs w:val="26"/>
          <w:lang w:val="vi-VN"/>
        </w:rPr>
      </w:pPr>
      <w:r w:rsidRPr="00ED5E38">
        <w:rPr>
          <w:noProof/>
          <w:color w:val="000000" w:themeColor="text1"/>
          <w:sz w:val="26"/>
          <w:szCs w:val="26"/>
          <w:lang w:val="vi-VN"/>
        </w:rPr>
        <w:t xml:space="preserve">Theo rà soát cam kết quốc tế, nội dung gia công, cấp phép gia công hàng hóa không có cam kết cụ thể tại các Hiệp định mà Việt Nam là thành viên. Do đó giải pháp này </w:t>
      </w:r>
      <w:r w:rsidRPr="00ED5E38">
        <w:rPr>
          <w:bCs/>
          <w:noProof/>
          <w:color w:val="000000" w:themeColor="text1"/>
          <w:sz w:val="26"/>
          <w:szCs w:val="26"/>
          <w:lang w:val="vi-VN"/>
        </w:rPr>
        <w:t xml:space="preserve">không trái, không xung đột với điều ước quốc tế mà Việt Nam là thành viên; không có khả năng phát sinh tranh chấp quốc tế về thương mại và đầu tư. </w:t>
      </w:r>
    </w:p>
    <w:p w14:paraId="6D08E737" w14:textId="43C4FA51"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i/>
          <w:iCs/>
          <w:noProof/>
          <w:color w:val="000000" w:themeColor="text1"/>
          <w:sz w:val="26"/>
          <w:szCs w:val="26"/>
          <w:lang w:val="vi-VN"/>
        </w:rPr>
      </w:pPr>
      <w:r w:rsidRPr="00ED5E38">
        <w:rPr>
          <w:b/>
          <w:bCs/>
          <w:i/>
          <w:iCs/>
          <w:noProof/>
          <w:color w:val="000000" w:themeColor="text1"/>
          <w:sz w:val="26"/>
          <w:szCs w:val="26"/>
          <w:lang w:val="vi-VN"/>
        </w:rPr>
        <w:t xml:space="preserve">- Tác động về kinh tế - xã hội: </w:t>
      </w:r>
    </w:p>
    <w:p w14:paraId="099B249E" w14:textId="76C3C5D2"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lang w:val="vi-VN"/>
        </w:rPr>
      </w:pPr>
      <w:r w:rsidRPr="00ED5E38">
        <w:rPr>
          <w:bCs/>
          <w:noProof/>
          <w:color w:val="000000" w:themeColor="text1"/>
          <w:sz w:val="26"/>
          <w:szCs w:val="26"/>
          <w:lang w:val="vi-VN"/>
        </w:rPr>
        <w:t>Giải pháp này có tác động tích cực là giảm chi phí cho doanh nghiệp, cụ thể giảm chi phí đi lại, chi phí thời gian khi thực hiện thủ tục hành chính. Thúc đẩy phát triển kinh tế tại địa phương, việc giao thẩm quyền cho UBND cấp tỉnh tạo điều kiện để địa phương chủ động hỗ trợ doanh nghiệp gia công xuất khẩu, thu hút đầu tư, phát triển công nghiệp chế biến, chế tạo, qua đó góp phần tăng trưởng kinh tế, mở rộng quy mô sản xuất và tăng thu ngân sách nhà nước tại địa phương.Tuy nhiên, phát sinh tăng khối lượng công việc cho UBND cấp tỉnh, UBND cấp tỉnh cần bố trí thêm nguồn lực về nhân sự, đào tạo chuyên môn và hệ thống công nghệ thông tin để thực hiện nhiệm vụ được phân quyền, làm phát sinh chi phí ngân sách trong ngắn hạn.</w:t>
      </w:r>
    </w:p>
    <w:p w14:paraId="1FD869C9" w14:textId="4F8905AB"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b/>
          <w:bCs/>
          <w:i/>
          <w:iCs/>
          <w:noProof/>
          <w:color w:val="000000" w:themeColor="text1"/>
          <w:sz w:val="26"/>
          <w:szCs w:val="26"/>
          <w:lang w:val="vi-VN"/>
        </w:rPr>
        <w:t xml:space="preserve">- Tác động về giới (nếu có): </w:t>
      </w:r>
      <w:r w:rsidRPr="00ED5E38">
        <w:rPr>
          <w:noProof/>
          <w:color w:val="000000" w:themeColor="text1"/>
          <w:sz w:val="26"/>
          <w:szCs w:val="26"/>
          <w:lang w:val="vi-VN"/>
        </w:rPr>
        <w:t>Giải pháp này không làm phát sinh tác động khác biệt về giới do nội dung điều chỉnh không liên quan trực tiếp đến các yếu tố giới tính, vai trò giới hoặc quyền, nghĩa vụ đặc thù của các nhóm giới khác nhau.</w:t>
      </w:r>
    </w:p>
    <w:p w14:paraId="4C5F1A30" w14:textId="56AB5F0A" w:rsidR="00A11A66" w:rsidRPr="00ED5E38"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i/>
          <w:iCs/>
          <w:noProof/>
          <w:color w:val="000000" w:themeColor="text1"/>
          <w:sz w:val="26"/>
          <w:szCs w:val="26"/>
          <w:lang w:val="vi-VN"/>
        </w:rPr>
      </w:pPr>
      <w:r w:rsidRPr="00ED5E38">
        <w:rPr>
          <w:b/>
          <w:bCs/>
          <w:i/>
          <w:iCs/>
          <w:noProof/>
          <w:color w:val="000000" w:themeColor="text1"/>
          <w:sz w:val="26"/>
          <w:szCs w:val="26"/>
          <w:lang w:val="vi-VN"/>
        </w:rPr>
        <w:t xml:space="preserve">- Tác động của thủ tục hành chính (nếu có): </w:t>
      </w:r>
    </w:p>
    <w:p w14:paraId="777C78ED" w14:textId="162977EE" w:rsidR="00A11A66" w:rsidRPr="00FD5E31"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20"/>
        <w:jc w:val="both"/>
        <w:rPr>
          <w:noProof/>
          <w:color w:val="000000" w:themeColor="text1"/>
          <w:sz w:val="26"/>
          <w:szCs w:val="26"/>
        </w:rPr>
      </w:pPr>
      <w:r w:rsidRPr="00ED5E38">
        <w:rPr>
          <w:bCs/>
          <w:noProof/>
          <w:color w:val="000000" w:themeColor="text1"/>
          <w:sz w:val="26"/>
          <w:szCs w:val="26"/>
          <w:lang w:val="vi-VN"/>
        </w:rPr>
        <w:t>Giải pháp này có ưu điểm giảm thời gian, chi phí tuân thủ thủ tục hành chính do rút ngắn thời gian thời gian di chuyển, chi phí đi lại của doanh nghiệp; giảm tải thực hiện thủ tục hành chính cho Bộ Công Thương, tập trung nguồn lực vào xây dựng chính sách, pháp luật, kiểm tra, hướng dẫn chuyên môn nghiệp vụ. Tuy nhiên, việc phân quyền cho các địa phương, bước đầu triển</w:t>
      </w:r>
      <w:r w:rsidRPr="00ED5E38">
        <w:rPr>
          <w:noProof/>
          <w:color w:val="000000" w:themeColor="text1"/>
          <w:sz w:val="26"/>
          <w:szCs w:val="26"/>
          <w:lang w:val="vi-VN"/>
        </w:rPr>
        <w:t xml:space="preserve"> khai thực hiện thủ tục hành chính có thể lúng túng </w:t>
      </w:r>
      <w:r w:rsidRPr="00ED5E38">
        <w:rPr>
          <w:noProof/>
          <w:color w:val="000000" w:themeColor="text1"/>
          <w:sz w:val="26"/>
          <w:szCs w:val="26"/>
          <w:lang w:val="vi-VN"/>
        </w:rPr>
        <w:lastRenderedPageBreak/>
        <w:t xml:space="preserve">một thời gian ngắn. </w:t>
      </w:r>
    </w:p>
    <w:p w14:paraId="75254A6D" w14:textId="6F607140" w:rsidR="00FD5E31" w:rsidRPr="0027142B" w:rsidRDefault="00FD5E31" w:rsidP="00D31383">
      <w:pPr>
        <w:pStyle w:val="Heading2"/>
        <w:rPr>
          <w:lang w:val="en-US"/>
        </w:rPr>
      </w:pPr>
      <w:r w:rsidRPr="0027142B">
        <w:t>b) Giải pháp 2: Không phân quyền việc cấp phép gia công hàng hóa thuộc diện xuất khẩu, nhập khẩu theo giấy phép từ Bộ Công Thương sang Ủy ban nhân dân cấp tỉnh thực hiện tại khoản 2 Điều 51 Luật Quản lý ngoại thương</w:t>
      </w:r>
    </w:p>
    <w:p w14:paraId="341AC13F" w14:textId="77777777" w:rsidR="00FD5E31" w:rsidRDefault="00A11A66" w:rsidP="00D3138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rStyle w:val="Emphasis"/>
          <w:b/>
          <w:noProof/>
          <w:color w:val="000000" w:themeColor="text1"/>
          <w:sz w:val="26"/>
          <w:szCs w:val="26"/>
        </w:rPr>
      </w:pPr>
      <w:r w:rsidRPr="00ED5E38">
        <w:rPr>
          <w:rStyle w:val="Emphasis"/>
          <w:b/>
          <w:noProof/>
          <w:color w:val="000000" w:themeColor="text1"/>
          <w:sz w:val="26"/>
          <w:szCs w:val="26"/>
          <w:lang w:val="vi-VN"/>
        </w:rPr>
        <w:t>- Tác động đối với hệ thống pháp luật</w:t>
      </w:r>
      <w:r w:rsidR="00FD5E31" w:rsidRPr="00FD5E31">
        <w:rPr>
          <w:rStyle w:val="Emphasis"/>
          <w:b/>
          <w:noProof/>
          <w:color w:val="000000" w:themeColor="text1"/>
          <w:sz w:val="26"/>
          <w:szCs w:val="26"/>
          <w:lang w:val="vi-VN"/>
        </w:rPr>
        <w:t xml:space="preserve">: </w:t>
      </w:r>
    </w:p>
    <w:p w14:paraId="5D72448F" w14:textId="4AFF02C9" w:rsidR="00FD5E31" w:rsidRPr="00FD5E31" w:rsidRDefault="00A11A66" w:rsidP="00D3138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noProof/>
          <w:color w:val="000000" w:themeColor="text1"/>
          <w:sz w:val="26"/>
          <w:szCs w:val="26"/>
          <w:lang w:val="vi-VN"/>
        </w:rPr>
      </w:pPr>
      <w:r w:rsidRPr="00ED5E38">
        <w:rPr>
          <w:noProof/>
          <w:color w:val="000000" w:themeColor="text1"/>
          <w:sz w:val="26"/>
          <w:szCs w:val="26"/>
          <w:lang w:val="vi-VN"/>
        </w:rPr>
        <w:t>Việc không phân quyền cấp phép gia công hàng cấp</w:t>
      </w:r>
      <w:r w:rsidRPr="00ED5E38">
        <w:rPr>
          <w:b/>
          <w:bCs/>
          <w:noProof/>
          <w:color w:val="000000" w:themeColor="text1"/>
          <w:sz w:val="26"/>
          <w:szCs w:val="26"/>
          <w:lang w:val="vi-VN"/>
        </w:rPr>
        <w:t xml:space="preserve"> </w:t>
      </w:r>
      <w:r w:rsidRPr="00ED5E38">
        <w:rPr>
          <w:noProof/>
          <w:color w:val="000000" w:themeColor="text1"/>
          <w:sz w:val="26"/>
          <w:szCs w:val="26"/>
          <w:lang w:val="vi-VN"/>
        </w:rPr>
        <w:t>việc cấp phép gia công hàng hóa thuộc diện xuất khẩu, nhập khẩu theo giấy phép từ Bộ Công Thương sang Ủy ban nhân dân cấp tỉnh không làm phát sinh sửa đổi, bổ sung quy định đối với hệ thống pháp luật hiện hành, bảo đảm tính ổn định, thống nhất.Tuy nhiên, giải pháp này chưa phù hợp với quan điểm, chủ trương tăng cường phân cấp, phân quyền cho chính quyền địa phương, chưa tăng tính chủ động và trách nhiệm của chính quyền địa phương về quản lý hoạt động ngoại thương.</w:t>
      </w:r>
    </w:p>
    <w:p w14:paraId="67CAD29D" w14:textId="77777777" w:rsidR="00FD5E31" w:rsidRDefault="00A11A66" w:rsidP="00A20AD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noProof/>
          <w:color w:val="000000" w:themeColor="text1"/>
          <w:sz w:val="26"/>
          <w:szCs w:val="26"/>
        </w:rPr>
      </w:pPr>
      <w:r w:rsidRPr="00ED5E38">
        <w:rPr>
          <w:rStyle w:val="Emphasis"/>
          <w:b/>
          <w:noProof/>
          <w:color w:val="000000" w:themeColor="text1"/>
          <w:sz w:val="26"/>
          <w:szCs w:val="26"/>
          <w:lang w:val="vi-VN"/>
        </w:rPr>
        <w:t>- Tác động về kinh tế - xã hội</w:t>
      </w:r>
      <w:r w:rsidR="00FD5E31" w:rsidRPr="00FD5E31">
        <w:rPr>
          <w:b/>
          <w:bCs/>
          <w:noProof/>
          <w:color w:val="000000" w:themeColor="text1"/>
          <w:sz w:val="26"/>
          <w:szCs w:val="26"/>
          <w:lang w:val="vi-VN"/>
        </w:rPr>
        <w:t xml:space="preserve">: </w:t>
      </w:r>
    </w:p>
    <w:p w14:paraId="2E3A5AEC" w14:textId="01745AC4" w:rsidR="00FD5E31" w:rsidRPr="00FD5E31" w:rsidRDefault="00A46A62" w:rsidP="00A20AD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noProof/>
          <w:color w:val="000000" w:themeColor="text1"/>
          <w:sz w:val="26"/>
          <w:szCs w:val="26"/>
          <w:lang w:val="vi-VN"/>
        </w:rPr>
      </w:pPr>
      <w:r w:rsidRPr="00ED5E38">
        <w:rPr>
          <w:noProof/>
          <w:color w:val="000000" w:themeColor="text1"/>
          <w:sz w:val="26"/>
          <w:szCs w:val="26"/>
          <w:lang w:val="vi-VN"/>
        </w:rPr>
        <w:t xml:space="preserve">Giải pháp không phân quyền không làm phát sinh chi phí xây dựng văn bản và tổ chức thực thi của  cơ quan Trung ương, địa phương không phải bố trí thêm nguồn nhân lực và cơ sở vật chất để thực thi thủ tục hành chính, tuy nhiên sẽ không thúc đẩy phát triển kinh tế tại địa phương và </w:t>
      </w:r>
      <w:r w:rsidRPr="00ED5E38">
        <w:rPr>
          <w:bCs/>
          <w:noProof/>
          <w:color w:val="000000" w:themeColor="text1"/>
          <w:sz w:val="26"/>
          <w:szCs w:val="26"/>
          <w:lang w:val="vi-VN"/>
        </w:rPr>
        <w:t xml:space="preserve">không giảm thời gian và chi phí tuân thủ cho doanh nghiệp thực hiện gia công hàng hóa. </w:t>
      </w:r>
    </w:p>
    <w:p w14:paraId="44DCBE01" w14:textId="109DB77F" w:rsidR="00FD5E31" w:rsidRPr="00FD5E31" w:rsidRDefault="00A11A66" w:rsidP="00FD5E3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noProof/>
          <w:color w:val="000000" w:themeColor="text1"/>
          <w:sz w:val="26"/>
          <w:szCs w:val="26"/>
          <w:lang w:val="vi-VN"/>
        </w:rPr>
      </w:pPr>
      <w:r w:rsidRPr="00ED5E38">
        <w:rPr>
          <w:rStyle w:val="Emphasis"/>
          <w:b/>
          <w:noProof/>
          <w:color w:val="000000" w:themeColor="text1"/>
          <w:sz w:val="26"/>
          <w:szCs w:val="26"/>
          <w:lang w:val="vi-VN"/>
        </w:rPr>
        <w:t>- Tác động về giới</w:t>
      </w:r>
      <w:r w:rsidR="00FD5E31" w:rsidRPr="00FD5E31">
        <w:rPr>
          <w:rStyle w:val="Emphasis"/>
          <w:b/>
          <w:bCs/>
          <w:i w:val="0"/>
          <w:iCs w:val="0"/>
          <w:noProof/>
          <w:color w:val="000000" w:themeColor="text1"/>
          <w:sz w:val="26"/>
          <w:szCs w:val="26"/>
          <w:lang w:val="vi-VN"/>
        </w:rPr>
        <w:t xml:space="preserve">: </w:t>
      </w:r>
      <w:r w:rsidRPr="00ED5E38">
        <w:rPr>
          <w:noProof/>
          <w:color w:val="000000" w:themeColor="text1"/>
          <w:sz w:val="26"/>
          <w:szCs w:val="26"/>
          <w:lang w:val="vi-VN"/>
        </w:rPr>
        <w:t>Giải pháp này không làm phát sinh tác động khác biệt về giới do nội dung điều chỉnh không liên quan trực tiếp đến các yếu tố giới tính, vai trò giới hoặc quyền, nghĩa vụ đặc thù của các nhóm giới khác nhau.</w:t>
      </w:r>
    </w:p>
    <w:p w14:paraId="6719D00C" w14:textId="41A8B4F0" w:rsidR="00A46A62" w:rsidRDefault="00A11A66" w:rsidP="00FD5E3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Cs/>
          <w:noProof/>
          <w:color w:val="000000" w:themeColor="text1"/>
          <w:sz w:val="26"/>
          <w:szCs w:val="26"/>
        </w:rPr>
      </w:pPr>
      <w:r w:rsidRPr="00ED5E38">
        <w:rPr>
          <w:rStyle w:val="Emphasis"/>
          <w:b/>
          <w:noProof/>
          <w:color w:val="000000" w:themeColor="text1"/>
          <w:sz w:val="26"/>
          <w:szCs w:val="26"/>
          <w:lang w:val="vi-VN"/>
        </w:rPr>
        <w:t>- Tác động của thủ tục hành chính</w:t>
      </w:r>
      <w:r w:rsidR="00FD5E31" w:rsidRPr="00FD5E31">
        <w:rPr>
          <w:b/>
          <w:bCs/>
          <w:noProof/>
          <w:color w:val="000000" w:themeColor="text1"/>
          <w:sz w:val="26"/>
          <w:szCs w:val="26"/>
          <w:lang w:val="vi-VN"/>
        </w:rPr>
        <w:t xml:space="preserve">: </w:t>
      </w:r>
      <w:r w:rsidR="00A46A62" w:rsidRPr="00ED5E38">
        <w:rPr>
          <w:noProof/>
          <w:color w:val="000000" w:themeColor="text1"/>
          <w:sz w:val="26"/>
          <w:szCs w:val="26"/>
          <w:lang w:val="vi-VN"/>
        </w:rPr>
        <w:t xml:space="preserve">Giải pháp này không làm phát sinh sửa đổi, bổ sung chủ thể thực hiện thủ tục hành chính, không phải sửa đổi, bổ sung thủ tục hành chính.Tuy nhiên, không giảm </w:t>
      </w:r>
      <w:r w:rsidR="00A46A62" w:rsidRPr="00ED5E38">
        <w:rPr>
          <w:bCs/>
          <w:noProof/>
          <w:color w:val="000000" w:themeColor="text1"/>
          <w:sz w:val="26"/>
          <w:szCs w:val="26"/>
          <w:lang w:val="vi-VN"/>
        </w:rPr>
        <w:t>tải thực hiện thủ tục hành chính tại cơ quan trung ương (Bộ Công Thương), không tập trung được nguồn lực vào xây dựng chính sách, pháp luật, kiểm tra, hướng dẫn chuyên môn nghiệp vụ.</w:t>
      </w:r>
    </w:p>
    <w:p w14:paraId="067FB44B" w14:textId="77777777" w:rsidR="00FD5E31" w:rsidRDefault="00FD5E31" w:rsidP="00FD5E31">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jc w:val="both"/>
        <w:rPr>
          <w:b/>
          <w:bCs/>
          <w:noProof/>
          <w:color w:val="000000" w:themeColor="text1"/>
          <w:sz w:val="26"/>
          <w:szCs w:val="26"/>
        </w:rPr>
      </w:pPr>
      <w:r w:rsidRPr="00FD5E31">
        <w:rPr>
          <w:b/>
          <w:bCs/>
          <w:noProof/>
          <w:sz w:val="26"/>
          <w:szCs w:val="26"/>
        </w:rPr>
        <w:t>1.2. Giải pháp tối ưu được lựa chọn và lý do lựa chọn giải pháp:</w:t>
      </w:r>
    </w:p>
    <w:p w14:paraId="1C28A598" w14:textId="505275D8" w:rsidR="007A7754" w:rsidRPr="00FD5E31" w:rsidRDefault="00507A9C" w:rsidP="0027142B">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340" w:lineRule="exact"/>
        <w:ind w:firstLine="720"/>
        <w:contextualSpacing/>
        <w:jc w:val="both"/>
        <w:rPr>
          <w:b/>
          <w:bCs/>
          <w:noProof/>
          <w:color w:val="000000" w:themeColor="text1"/>
          <w:sz w:val="26"/>
          <w:szCs w:val="26"/>
        </w:rPr>
      </w:pPr>
      <w:r w:rsidRPr="00ED5E38">
        <w:rPr>
          <w:b/>
          <w:bCs/>
          <w:noProof/>
          <w:color w:val="000000" w:themeColor="text1"/>
          <w:sz w:val="26"/>
          <w:szCs w:val="26"/>
          <w:lang w:val="vi-VN"/>
        </w:rPr>
        <w:t xml:space="preserve">* </w:t>
      </w:r>
      <w:r w:rsidR="007A7754" w:rsidRPr="00ED5E38">
        <w:rPr>
          <w:b/>
          <w:bCs/>
          <w:noProof/>
          <w:color w:val="000000" w:themeColor="text1"/>
          <w:sz w:val="26"/>
          <w:szCs w:val="26"/>
          <w:lang w:val="vi-VN"/>
        </w:rPr>
        <w:t>Bảng so sánh giữa các giải pháp</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347"/>
        <w:gridCol w:w="4158"/>
      </w:tblGrid>
      <w:tr w:rsidR="007A7754" w:rsidRPr="00ED5E38" w14:paraId="7F3D8D14" w14:textId="77777777" w:rsidTr="00507A9C">
        <w:tc>
          <w:tcPr>
            <w:tcW w:w="2269" w:type="dxa"/>
          </w:tcPr>
          <w:p w14:paraId="5E657A14" w14:textId="77777777" w:rsidR="007A7754" w:rsidRPr="00ED5E38" w:rsidRDefault="007A7754" w:rsidP="00EC01A0">
            <w:pPr>
              <w:spacing w:before="60" w:after="60"/>
              <w:jc w:val="center"/>
              <w:rPr>
                <w:b/>
                <w:bCs/>
                <w:noProof/>
                <w:color w:val="000000" w:themeColor="text1"/>
                <w:sz w:val="26"/>
                <w:szCs w:val="26"/>
                <w:lang w:val="vi-VN"/>
              </w:rPr>
            </w:pPr>
            <w:r w:rsidRPr="00ED5E38">
              <w:rPr>
                <w:b/>
                <w:bCs/>
                <w:noProof/>
                <w:color w:val="000000" w:themeColor="text1"/>
                <w:sz w:val="26"/>
                <w:szCs w:val="26"/>
                <w:lang w:val="vi-VN"/>
              </w:rPr>
              <w:t>Nội dung đánh giá</w:t>
            </w:r>
          </w:p>
        </w:tc>
        <w:tc>
          <w:tcPr>
            <w:tcW w:w="4347" w:type="dxa"/>
          </w:tcPr>
          <w:p w14:paraId="76094481" w14:textId="77777777" w:rsidR="007A7754" w:rsidRPr="00ED5E38" w:rsidRDefault="007A7754" w:rsidP="00EC01A0">
            <w:pPr>
              <w:spacing w:before="60" w:after="60"/>
              <w:jc w:val="center"/>
              <w:rPr>
                <w:b/>
                <w:bCs/>
                <w:noProof/>
                <w:color w:val="000000" w:themeColor="text1"/>
                <w:sz w:val="26"/>
                <w:szCs w:val="26"/>
                <w:lang w:val="vi-VN"/>
              </w:rPr>
            </w:pPr>
            <w:r w:rsidRPr="00ED5E38">
              <w:rPr>
                <w:b/>
                <w:bCs/>
                <w:noProof/>
                <w:color w:val="000000" w:themeColor="text1"/>
                <w:sz w:val="26"/>
                <w:szCs w:val="26"/>
                <w:lang w:val="vi-VN"/>
              </w:rPr>
              <w:t>Giải pháp 1</w:t>
            </w:r>
          </w:p>
        </w:tc>
        <w:tc>
          <w:tcPr>
            <w:tcW w:w="4158" w:type="dxa"/>
          </w:tcPr>
          <w:p w14:paraId="5C95F0A3" w14:textId="77777777" w:rsidR="007A7754" w:rsidRPr="00ED5E38" w:rsidRDefault="007A7754" w:rsidP="00EC01A0">
            <w:pPr>
              <w:spacing w:before="60" w:after="60"/>
              <w:jc w:val="center"/>
              <w:rPr>
                <w:b/>
                <w:bCs/>
                <w:noProof/>
                <w:color w:val="000000" w:themeColor="text1"/>
                <w:sz w:val="26"/>
                <w:szCs w:val="26"/>
                <w:lang w:val="vi-VN"/>
              </w:rPr>
            </w:pPr>
            <w:r w:rsidRPr="00ED5E38">
              <w:rPr>
                <w:b/>
                <w:bCs/>
                <w:noProof/>
                <w:color w:val="000000" w:themeColor="text1"/>
                <w:sz w:val="26"/>
                <w:szCs w:val="26"/>
                <w:lang w:val="vi-VN"/>
              </w:rPr>
              <w:t>Giải pháp 2</w:t>
            </w:r>
          </w:p>
        </w:tc>
      </w:tr>
      <w:tr w:rsidR="007A7754" w:rsidRPr="00ED5E38" w14:paraId="59ECB559" w14:textId="77777777" w:rsidTr="00507A9C">
        <w:tc>
          <w:tcPr>
            <w:tcW w:w="2269" w:type="dxa"/>
          </w:tcPr>
          <w:p w14:paraId="775A3FBC"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t>Tác động đối với hệ thống pháp luật</w:t>
            </w:r>
          </w:p>
          <w:p w14:paraId="5C4BF8B8" w14:textId="77777777" w:rsidR="007A7754" w:rsidRPr="00ED5E38" w:rsidRDefault="007A7754" w:rsidP="00EC01A0">
            <w:pPr>
              <w:spacing w:before="60" w:after="60" w:line="276" w:lineRule="auto"/>
              <w:rPr>
                <w:noProof/>
                <w:color w:val="000000" w:themeColor="text1"/>
                <w:sz w:val="26"/>
                <w:szCs w:val="26"/>
                <w:lang w:val="vi-VN"/>
              </w:rPr>
            </w:pPr>
          </w:p>
        </w:tc>
        <w:tc>
          <w:tcPr>
            <w:tcW w:w="4347" w:type="dxa"/>
          </w:tcPr>
          <w:p w14:paraId="4F76C336" w14:textId="77777777" w:rsidR="00FD5E31" w:rsidRDefault="007A7754" w:rsidP="00FD5E31">
            <w:pPr>
              <w:spacing w:before="60" w:after="60"/>
              <w:jc w:val="both"/>
              <w:rPr>
                <w:noProof/>
                <w:color w:val="000000" w:themeColor="text1"/>
                <w:sz w:val="26"/>
                <w:szCs w:val="26"/>
              </w:rPr>
            </w:pPr>
            <w:r w:rsidRPr="00ED5E38">
              <w:rPr>
                <w:noProof/>
                <w:color w:val="000000" w:themeColor="text1"/>
                <w:sz w:val="26"/>
                <w:szCs w:val="26"/>
                <w:lang w:val="vi-VN"/>
              </w:rPr>
              <w:t>- Ưu điểm: Phù hợp Hiến pháp; phù hợp chủ trương phân cấp, phân quyền; không mâu thuẫn pháp luật hiện hành. Có thể thực hiện ngay sau khi sửa đổi Nghị định của Chính phủ; (Thủ tục đã được quy định, chỉ sửa về chủ thể thực hiện TTHC).</w:t>
            </w:r>
          </w:p>
          <w:p w14:paraId="69919A8F" w14:textId="529594B5" w:rsidR="007A7754" w:rsidRPr="00ED5E38" w:rsidRDefault="007A7754" w:rsidP="00FD5E31">
            <w:pPr>
              <w:spacing w:before="60" w:after="60"/>
              <w:jc w:val="both"/>
              <w:rPr>
                <w:noProof/>
                <w:color w:val="000000" w:themeColor="text1"/>
                <w:sz w:val="26"/>
                <w:szCs w:val="26"/>
                <w:lang w:val="vi-VN"/>
              </w:rPr>
            </w:pPr>
            <w:r w:rsidRPr="00ED5E38">
              <w:rPr>
                <w:noProof/>
                <w:color w:val="000000" w:themeColor="text1"/>
                <w:sz w:val="26"/>
                <w:szCs w:val="26"/>
                <w:lang w:val="vi-VN"/>
              </w:rPr>
              <w:t xml:space="preserve">- Nhược điểm: Cần sửa đổi, bổ sung văn bản quy phạm pháp luật và phụ thuộc </w:t>
            </w:r>
            <w:r w:rsidRPr="00ED5E38">
              <w:rPr>
                <w:noProof/>
                <w:color w:val="000000" w:themeColor="text1"/>
                <w:sz w:val="26"/>
                <w:szCs w:val="26"/>
                <w:lang w:val="vi-VN"/>
              </w:rPr>
              <w:lastRenderedPageBreak/>
              <w:t>vào tiến độ sửa đổi, văn bản; cần hoàn thiện cơ chế giám sát.</w:t>
            </w:r>
          </w:p>
        </w:tc>
        <w:tc>
          <w:tcPr>
            <w:tcW w:w="4158" w:type="dxa"/>
          </w:tcPr>
          <w:p w14:paraId="11E3597C"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lastRenderedPageBreak/>
              <w:t>- Ưu điểm: Không phát sinh sửa đổi pháp luật; bảo đảm tính ổn định pháp lý.</w:t>
            </w:r>
            <w:r w:rsidRPr="00ED5E38">
              <w:rPr>
                <w:noProof/>
                <w:color w:val="000000" w:themeColor="text1"/>
                <w:sz w:val="26"/>
                <w:szCs w:val="26"/>
                <w:lang w:val="vi-VN"/>
              </w:rPr>
              <w:br/>
              <w:t>- Nhược điểm: Chưa phù hợp chủ trương phân cấp, phân quyền; không cải thiện hiệu quả quản lý ở trung ương; không tăng tính chủ động địa phương.</w:t>
            </w:r>
          </w:p>
        </w:tc>
      </w:tr>
      <w:tr w:rsidR="007A7754" w:rsidRPr="00ED5E38" w14:paraId="7D6D5A6F" w14:textId="77777777" w:rsidTr="00507A9C">
        <w:tc>
          <w:tcPr>
            <w:tcW w:w="2269" w:type="dxa"/>
          </w:tcPr>
          <w:p w14:paraId="68F60639"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lastRenderedPageBreak/>
              <w:t>Tác động điều ước quốc tế</w:t>
            </w:r>
          </w:p>
        </w:tc>
        <w:tc>
          <w:tcPr>
            <w:tcW w:w="4347" w:type="dxa"/>
          </w:tcPr>
          <w:p w14:paraId="4159B251"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Không tác động. Không xung đột, trái với điều ước quốc tế</w:t>
            </w:r>
          </w:p>
        </w:tc>
        <w:tc>
          <w:tcPr>
            <w:tcW w:w="4158" w:type="dxa"/>
          </w:tcPr>
          <w:p w14:paraId="291A9FB3"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Không tác động</w:t>
            </w:r>
          </w:p>
        </w:tc>
      </w:tr>
      <w:tr w:rsidR="007A7754" w:rsidRPr="00ED5E38" w14:paraId="61BE5968" w14:textId="77777777" w:rsidTr="00507A9C">
        <w:tc>
          <w:tcPr>
            <w:tcW w:w="2269" w:type="dxa"/>
          </w:tcPr>
          <w:p w14:paraId="67334E4E"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t>Tác động kinh tế – xã hội</w:t>
            </w:r>
          </w:p>
        </w:tc>
        <w:tc>
          <w:tcPr>
            <w:tcW w:w="4347" w:type="dxa"/>
          </w:tcPr>
          <w:p w14:paraId="17836EAE" w14:textId="77777777" w:rsidR="00FD5E31" w:rsidRDefault="007A7754" w:rsidP="00EC01A0">
            <w:pPr>
              <w:spacing w:before="60" w:after="60"/>
              <w:jc w:val="both"/>
              <w:rPr>
                <w:noProof/>
                <w:color w:val="000000" w:themeColor="text1"/>
                <w:sz w:val="26"/>
                <w:szCs w:val="26"/>
              </w:rPr>
            </w:pPr>
            <w:r w:rsidRPr="00ED5E38">
              <w:rPr>
                <w:noProof/>
                <w:color w:val="000000" w:themeColor="text1"/>
                <w:sz w:val="26"/>
                <w:szCs w:val="26"/>
                <w:lang w:val="vi-VN"/>
              </w:rPr>
              <w:t>-Ưu điểm: Giảm chi phí tuân thủ; giảm chi phí thời gian; thúc đẩy phát triển kinh tế địa phương.</w:t>
            </w:r>
          </w:p>
          <w:p w14:paraId="364FFB73" w14:textId="4CCAB4B5"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 Nhược điểm: Phát sinh chi phí ngân sách địa phương; tăng khối lượng công việc.</w:t>
            </w:r>
          </w:p>
        </w:tc>
        <w:tc>
          <w:tcPr>
            <w:tcW w:w="4158" w:type="dxa"/>
          </w:tcPr>
          <w:p w14:paraId="03412EC8" w14:textId="77777777" w:rsidR="00FD5E31" w:rsidRDefault="007A7754" w:rsidP="00EC01A0">
            <w:pPr>
              <w:spacing w:before="60" w:after="60"/>
              <w:jc w:val="both"/>
              <w:rPr>
                <w:noProof/>
                <w:color w:val="000000" w:themeColor="text1"/>
                <w:sz w:val="26"/>
                <w:szCs w:val="26"/>
              </w:rPr>
            </w:pPr>
            <w:r w:rsidRPr="00ED5E38">
              <w:rPr>
                <w:noProof/>
                <w:color w:val="000000" w:themeColor="text1"/>
                <w:sz w:val="26"/>
                <w:szCs w:val="26"/>
                <w:lang w:val="vi-VN"/>
              </w:rPr>
              <w:t>- Ưu điểm: Không phát sinh chi phí tổ chức thực hiện.</w:t>
            </w:r>
          </w:p>
          <w:p w14:paraId="356E40F2" w14:textId="1F11A705"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 Nhược điểm: Không giảm chi phí cho doanh nghiệp; không thúc đẩy phát triển địa phương.</w:t>
            </w:r>
          </w:p>
        </w:tc>
      </w:tr>
      <w:tr w:rsidR="007A7754" w:rsidRPr="00ED5E38" w14:paraId="34A6B4DD" w14:textId="77777777" w:rsidTr="00507A9C">
        <w:tc>
          <w:tcPr>
            <w:tcW w:w="2269" w:type="dxa"/>
          </w:tcPr>
          <w:p w14:paraId="5E78CE49"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t>Tác động phân cấp, phân quyền</w:t>
            </w:r>
          </w:p>
        </w:tc>
        <w:tc>
          <w:tcPr>
            <w:tcW w:w="4347" w:type="dxa"/>
          </w:tcPr>
          <w:p w14:paraId="211C3DCD" w14:textId="77777777" w:rsidR="00FD5E31" w:rsidRDefault="007A7754" w:rsidP="00EC01A0">
            <w:pPr>
              <w:spacing w:before="60" w:after="60"/>
              <w:jc w:val="both"/>
              <w:rPr>
                <w:noProof/>
                <w:color w:val="000000" w:themeColor="text1"/>
                <w:sz w:val="26"/>
                <w:szCs w:val="26"/>
              </w:rPr>
            </w:pPr>
            <w:r w:rsidRPr="00ED5E38">
              <w:rPr>
                <w:noProof/>
                <w:color w:val="000000" w:themeColor="text1"/>
                <w:sz w:val="26"/>
                <w:szCs w:val="26"/>
                <w:lang w:val="vi-VN"/>
              </w:rPr>
              <w:t>- Ưu điểm: Tăng tính chủ động địa phương; Trung ương tập trung xây dựng chính sách.</w:t>
            </w:r>
          </w:p>
          <w:p w14:paraId="5B8EA8C0" w14:textId="4B30904A"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 Nhược điểm: Nguy cơ buông lỏng quản lý nếu giám sát không tốt. Địa phương cần tăng nhân lực, chí phí đào tạo, hạ tầng kỹ thuật đảm bảo thực hiện.</w:t>
            </w:r>
          </w:p>
        </w:tc>
        <w:tc>
          <w:tcPr>
            <w:tcW w:w="4158" w:type="dxa"/>
          </w:tcPr>
          <w:p w14:paraId="1225CF4F" w14:textId="77777777" w:rsidR="00FD5E31" w:rsidRDefault="007A7754" w:rsidP="00EC01A0">
            <w:pPr>
              <w:spacing w:before="60" w:after="60"/>
              <w:jc w:val="both"/>
              <w:rPr>
                <w:noProof/>
                <w:color w:val="000000" w:themeColor="text1"/>
                <w:sz w:val="26"/>
                <w:szCs w:val="26"/>
              </w:rPr>
            </w:pPr>
            <w:r w:rsidRPr="00ED5E38">
              <w:rPr>
                <w:noProof/>
                <w:color w:val="000000" w:themeColor="text1"/>
                <w:sz w:val="26"/>
                <w:szCs w:val="26"/>
                <w:lang w:val="vi-VN"/>
              </w:rPr>
              <w:t>Ưu điểm: Duy trì mô hình quản lý tập trung. Địa phương không phát sinh nhu cầu nguồn lực mới, đào tạo, chuẩn bị hạ tầng kỹ thuật.</w:t>
            </w:r>
          </w:p>
          <w:p w14:paraId="0AECAC9D" w14:textId="4B18D164"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 Nhược điểm: Không nâng cao vai trò địa phương.</w:t>
            </w:r>
          </w:p>
        </w:tc>
      </w:tr>
      <w:tr w:rsidR="007A7754" w:rsidRPr="00ED5E38" w14:paraId="77EE6266" w14:textId="77777777" w:rsidTr="00507A9C">
        <w:tc>
          <w:tcPr>
            <w:tcW w:w="2269" w:type="dxa"/>
          </w:tcPr>
          <w:p w14:paraId="7A75541B"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t>Tác động thủ tục hành chính</w:t>
            </w:r>
          </w:p>
        </w:tc>
        <w:tc>
          <w:tcPr>
            <w:tcW w:w="4347" w:type="dxa"/>
          </w:tcPr>
          <w:p w14:paraId="02287724"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Ưu điểm: Không phát sinh TTHC mới; giảm tải TTHC cho Bộ; doanh nghiệp được thuận lợi hơn thực hiện tại địa phương, giảm chi phí tuân thủ hành chính.</w:t>
            </w:r>
            <w:r w:rsidRPr="00ED5E38">
              <w:rPr>
                <w:noProof/>
                <w:color w:val="000000" w:themeColor="text1"/>
                <w:sz w:val="26"/>
                <w:szCs w:val="26"/>
                <w:lang w:val="vi-VN"/>
              </w:rPr>
              <w:br/>
              <w:t>Nhược điểm: Thời gian đầu thực hiện có thể lúng túng, mất thời gian tìm hiểu thủ tục mới thay đổi.</w:t>
            </w:r>
          </w:p>
        </w:tc>
        <w:tc>
          <w:tcPr>
            <w:tcW w:w="4158" w:type="dxa"/>
          </w:tcPr>
          <w:p w14:paraId="281F644A" w14:textId="77777777" w:rsidR="00FD5E31" w:rsidRPr="00FD5E31"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Ưu điểm: Không thay đổi chủ thể thực hiện  TTHC.</w:t>
            </w:r>
          </w:p>
          <w:p w14:paraId="656F3FC5" w14:textId="33358AED"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Nhược điểm: Không giảm tải cho cơ quan Trung ương.</w:t>
            </w:r>
          </w:p>
        </w:tc>
      </w:tr>
      <w:tr w:rsidR="007A7754" w:rsidRPr="00ED5E38" w14:paraId="2A5BC691" w14:textId="77777777" w:rsidTr="00507A9C">
        <w:tc>
          <w:tcPr>
            <w:tcW w:w="2269" w:type="dxa"/>
          </w:tcPr>
          <w:p w14:paraId="0F41E13D" w14:textId="77777777" w:rsidR="007A7754" w:rsidRPr="00ED5E38" w:rsidRDefault="007A7754" w:rsidP="00EC01A0">
            <w:pPr>
              <w:spacing w:before="60" w:after="60"/>
              <w:rPr>
                <w:noProof/>
                <w:color w:val="000000" w:themeColor="text1"/>
                <w:sz w:val="26"/>
                <w:szCs w:val="26"/>
                <w:lang w:val="vi-VN"/>
              </w:rPr>
            </w:pPr>
            <w:r w:rsidRPr="00ED5E38">
              <w:rPr>
                <w:noProof/>
                <w:color w:val="000000" w:themeColor="text1"/>
                <w:sz w:val="26"/>
                <w:szCs w:val="26"/>
                <w:lang w:val="vi-VN"/>
              </w:rPr>
              <w:t>Tác động về giới</w:t>
            </w:r>
          </w:p>
        </w:tc>
        <w:tc>
          <w:tcPr>
            <w:tcW w:w="4347" w:type="dxa"/>
          </w:tcPr>
          <w:p w14:paraId="6D6A9023"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Không phát sinh tác động khác biệt về giới.</w:t>
            </w:r>
          </w:p>
        </w:tc>
        <w:tc>
          <w:tcPr>
            <w:tcW w:w="4158" w:type="dxa"/>
          </w:tcPr>
          <w:p w14:paraId="2C288AA6" w14:textId="77777777" w:rsidR="007A7754" w:rsidRPr="00ED5E38" w:rsidRDefault="007A7754" w:rsidP="00EC01A0">
            <w:pPr>
              <w:spacing w:before="60" w:after="60"/>
              <w:jc w:val="both"/>
              <w:rPr>
                <w:noProof/>
                <w:color w:val="000000" w:themeColor="text1"/>
                <w:sz w:val="26"/>
                <w:szCs w:val="26"/>
                <w:lang w:val="vi-VN"/>
              </w:rPr>
            </w:pPr>
            <w:r w:rsidRPr="00ED5E38">
              <w:rPr>
                <w:noProof/>
                <w:color w:val="000000" w:themeColor="text1"/>
                <w:sz w:val="26"/>
                <w:szCs w:val="26"/>
                <w:lang w:val="vi-VN"/>
              </w:rPr>
              <w:t>Không phát sinh tác động khác biệt về giới.</w:t>
            </w:r>
          </w:p>
        </w:tc>
      </w:tr>
    </w:tbl>
    <w:p w14:paraId="788869EE" w14:textId="451E0DB9" w:rsidR="00A11A66" w:rsidRPr="00ED5E38" w:rsidRDefault="00FD5E31" w:rsidP="00FD5E31">
      <w:pPr>
        <w:spacing w:before="120" w:after="120" w:line="340" w:lineRule="exact"/>
        <w:jc w:val="both"/>
        <w:rPr>
          <w:noProof/>
          <w:color w:val="000000" w:themeColor="text1"/>
          <w:sz w:val="26"/>
          <w:szCs w:val="26"/>
          <w:lang w:val="vi-VN"/>
        </w:rPr>
      </w:pPr>
      <w:r>
        <w:rPr>
          <w:noProof/>
          <w:color w:val="000000" w:themeColor="text1"/>
          <w:sz w:val="26"/>
          <w:szCs w:val="26"/>
        </w:rPr>
        <w:tab/>
      </w:r>
      <w:r w:rsidR="007A7754" w:rsidRPr="00ED5E38">
        <w:rPr>
          <w:noProof/>
          <w:color w:val="000000" w:themeColor="text1"/>
          <w:sz w:val="26"/>
          <w:szCs w:val="26"/>
          <w:lang w:val="vi-VN"/>
        </w:rPr>
        <w:t xml:space="preserve">Trên cơ sở nội dung so sánh 2 giải pháp nêu trên, </w:t>
      </w:r>
      <w:r w:rsidR="00A11A66" w:rsidRPr="00ED5E38">
        <w:rPr>
          <w:noProof/>
          <w:color w:val="000000" w:themeColor="text1"/>
          <w:sz w:val="26"/>
          <w:szCs w:val="26"/>
          <w:lang w:val="vi-VN"/>
        </w:rPr>
        <w:t>Bộ Công Thương kiến nghị lựa chọn “</w:t>
      </w:r>
      <w:r w:rsidR="00A11A66" w:rsidRPr="00ED5E38">
        <w:rPr>
          <w:b/>
          <w:bCs/>
          <w:noProof/>
          <w:color w:val="000000" w:themeColor="text1"/>
          <w:sz w:val="26"/>
          <w:szCs w:val="26"/>
          <w:lang w:val="vi-VN"/>
        </w:rPr>
        <w:t>Giải pháp 1</w:t>
      </w:r>
      <w:r w:rsidR="00A11A66" w:rsidRPr="00ED5E38">
        <w:rPr>
          <w:noProof/>
          <w:color w:val="000000" w:themeColor="text1"/>
          <w:sz w:val="26"/>
          <w:szCs w:val="26"/>
          <w:lang w:val="vi-VN"/>
        </w:rPr>
        <w:t>” dựa trên các lý do sau đây:</w:t>
      </w:r>
    </w:p>
    <w:p w14:paraId="2454BDAF" w14:textId="77777777" w:rsidR="00A11A66" w:rsidRPr="00ED5E38" w:rsidRDefault="00A11A66"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Thứ nhất, thống nhất quan điểm, chủ trương của Đảng và nhà nước về việc tăng cường phân cấp, phân quyền cho chính quyền địa phương, nâng cao tính chủ động, tự chịu trách nhiệm và hiệu quả quản lý của UBND cấp tỉnh.</w:t>
      </w:r>
    </w:p>
    <w:p w14:paraId="61FD9D8B" w14:textId="77777777" w:rsidR="00A11A66" w:rsidRPr="00ED5E38" w:rsidRDefault="00A11A66"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Thứ hai, giảm tải việc thực hiện thủ tục hành chính tại các Bộ, các bộ, ngành tập trung xây dựng chính sách, pháp luật, hướng dẫn, kiểm tra, giám sát. </w:t>
      </w:r>
    </w:p>
    <w:p w14:paraId="4348A6E6" w14:textId="77777777" w:rsidR="00D31383" w:rsidRPr="00D31383" w:rsidRDefault="00A11A66"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Thứ ba, việc phân quyền cho địa phương giảm chi phí cho doanh nghiệp, cải thiện môi trường đầu tư, kinh doanh.thúc đẩy sản xuất, phát triển kinh tế tại các địa phương.</w:t>
      </w:r>
    </w:p>
    <w:p w14:paraId="6BDB24C7" w14:textId="77777777" w:rsidR="00D31383" w:rsidRPr="00D31383" w:rsidRDefault="00ED5C78" w:rsidP="00D31383">
      <w:pPr>
        <w:pStyle w:val="Heading1"/>
      </w:pPr>
      <w:r w:rsidRPr="00A20AD9">
        <w:t>2. Chính sách 2: Về tháo gỡ các khó khăn, vướng mắc có nguyên nhân từ pháp luật</w:t>
      </w:r>
    </w:p>
    <w:p w14:paraId="27D23775" w14:textId="77777777" w:rsidR="00D31383" w:rsidRPr="00D31383" w:rsidRDefault="00ED5C78" w:rsidP="00D31383">
      <w:pPr>
        <w:pStyle w:val="Heading1"/>
      </w:pPr>
      <w:r w:rsidRPr="00A20AD9">
        <w:t xml:space="preserve">2.1. Nội dung 1: </w:t>
      </w:r>
      <w:r w:rsidR="00D07631" w:rsidRPr="00A20AD9">
        <w:t>Tháo gỡ khó khăn, vướng mắc các quy định của Luật Thương mại</w:t>
      </w:r>
    </w:p>
    <w:p w14:paraId="1BA44181" w14:textId="77777777" w:rsidR="00D31383" w:rsidRDefault="00D31383" w:rsidP="00D31383">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09"/>
        <w:jc w:val="both"/>
        <w:rPr>
          <w:noProof/>
        </w:rPr>
      </w:pPr>
    </w:p>
    <w:p w14:paraId="650DFFEC" w14:textId="014F1F07" w:rsidR="00D31383" w:rsidRPr="00D31383" w:rsidRDefault="00D07631" w:rsidP="00D31383">
      <w:pPr>
        <w:pStyle w:val="Heading1"/>
      </w:pPr>
      <w:r w:rsidRPr="00A20AD9">
        <w:lastRenderedPageBreak/>
        <w:t xml:space="preserve">2.1.1. </w:t>
      </w:r>
      <w:r w:rsidR="00582C1D">
        <w:rPr>
          <w:lang w:val="en-US"/>
        </w:rPr>
        <w:t xml:space="preserve">Vấn đề 1: </w:t>
      </w:r>
      <w:r w:rsidR="00ED5C78" w:rsidRPr="00A20AD9">
        <w:t>Tháo gỡ khó khăn, điểm nghẽn trong quy định về hàng giả trong Luật Thương mại</w:t>
      </w:r>
    </w:p>
    <w:p w14:paraId="40BCC26F" w14:textId="738C365A" w:rsidR="00ED5C78" w:rsidRPr="00D31383" w:rsidRDefault="00ED5C78" w:rsidP="00D31383">
      <w:pPr>
        <w:pStyle w:val="Heading1"/>
        <w:rPr>
          <w:bCs w:val="0"/>
          <w:color w:val="000000" w:themeColor="text1"/>
        </w:rPr>
      </w:pPr>
      <w:r w:rsidRPr="00ED5E38">
        <w:t>2.1.1.</w:t>
      </w:r>
      <w:r w:rsidR="00D07631" w:rsidRPr="00ED5E38">
        <w:t>1.</w:t>
      </w:r>
      <w:r w:rsidRPr="00ED5E38">
        <w:t xml:space="preserve"> Đánh giá tác động</w:t>
      </w:r>
    </w:p>
    <w:p w14:paraId="071387F5" w14:textId="7DAEC661" w:rsidR="00F76D23" w:rsidRPr="00ED5E38" w:rsidRDefault="00F76D23" w:rsidP="0027142B">
      <w:pPr>
        <w:pStyle w:val="Heading2"/>
      </w:pPr>
      <w:bookmarkStart w:id="8" w:name="_Hlk221198150"/>
      <w:bookmarkStart w:id="9" w:name="_Hlk220676627"/>
      <w:bookmarkStart w:id="10" w:name="_Hlk220676608"/>
      <w:bookmarkStart w:id="11" w:name="_Hlk219722738"/>
      <w:r w:rsidRPr="00ED5E38">
        <w:t>a)</w:t>
      </w:r>
      <w:bookmarkStart w:id="12" w:name="_Hlk221181662"/>
      <w:r w:rsidRPr="00ED5E38">
        <w:t xml:space="preserve"> Giải pháp 1: Quy định khái niệm “hàng giả” trong Luật Thương mại theo hướng</w:t>
      </w:r>
      <w:r w:rsidR="00041E29" w:rsidRPr="00ED5E38">
        <w:t xml:space="preserve"> rộng (</w:t>
      </w:r>
      <w:r w:rsidRPr="00ED5E38">
        <w:t>bao gồm giả về nội dung, giả về hình thức và tem, nhãn, bao bì hàng hóa giả</w:t>
      </w:r>
      <w:r w:rsidR="00041E29" w:rsidRPr="00ED5E38">
        <w:t>)</w:t>
      </w:r>
    </w:p>
    <w:p w14:paraId="13537DCD"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noProof/>
          <w:color w:val="000000" w:themeColor="text1"/>
          <w:sz w:val="26"/>
          <w:szCs w:val="26"/>
          <w:lang w:val="vi-VN"/>
        </w:rPr>
        <w:tab/>
      </w:r>
      <w:r w:rsidRPr="00ED5E38">
        <w:rPr>
          <w:i/>
          <w:iCs/>
          <w:noProof/>
          <w:color w:val="000000" w:themeColor="text1"/>
          <w:sz w:val="26"/>
          <w:szCs w:val="26"/>
          <w:lang w:val="vi-VN"/>
        </w:rPr>
        <w:t>Trong đó, dự kiến quy định khái niệm “hàng giả” trong Luật Thương mại như sau:</w:t>
      </w:r>
    </w:p>
    <w:p w14:paraId="050DD301"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 </w:t>
      </w:r>
      <w:r w:rsidRPr="00ED5E38">
        <w:rPr>
          <w:b/>
          <w:bCs/>
          <w:i/>
          <w:iCs/>
          <w:noProof/>
          <w:color w:val="000000" w:themeColor="text1"/>
          <w:sz w:val="26"/>
          <w:szCs w:val="26"/>
          <w:lang w:val="vi-VN"/>
        </w:rPr>
        <w:t xml:space="preserve">Phương án 1: </w:t>
      </w:r>
      <w:r w:rsidRPr="00ED5E38">
        <w:rPr>
          <w:i/>
          <w:iCs/>
          <w:noProof/>
          <w:color w:val="000000" w:themeColor="text1"/>
          <w:sz w:val="26"/>
          <w:szCs w:val="26"/>
          <w:lang w:val="vi-VN"/>
        </w:rPr>
        <w:t xml:space="preserve">Quy định liệt kê cụ thể như Nghị định số 98/2020/NĐ-CP và hoàn thiện một số nội dung. Cụ thể: </w:t>
      </w:r>
    </w:p>
    <w:p w14:paraId="7E64834F"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Hàng giả bao gồm hàng hóa thuộc một trong các trường hợp sau đây:</w:t>
      </w:r>
    </w:p>
    <w:p w14:paraId="710E6582"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a) Hàng hóa có giá trị sử dụng, công dụng không đúng với nguồn gốc bản chất tự nhiên, tên gọi của hàng hóa; hàng hóa không có giá trị sử dụng, công dụng hoặc có giá trị sử dụng, công dụng không đúng so với giá trị sử dụng, công dụng đã công bố hoặc đăng ký;</w:t>
      </w:r>
    </w:p>
    <w:p w14:paraId="50591726"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bookmarkStart w:id="13" w:name="bookmark34"/>
      <w:bookmarkEnd w:id="13"/>
      <w:r w:rsidRPr="00ED5E38">
        <w:rPr>
          <w:i/>
          <w:iCs/>
          <w:noProof/>
          <w:color w:val="000000" w:themeColor="text1"/>
          <w:sz w:val="26"/>
          <w:szCs w:val="26"/>
          <w:lang w:val="vi-VN"/>
        </w:rPr>
        <w:t>b) Hàng hóa có ít nhất một trong các chỉ tiêu chất lượng hoặc đặc tính kỹ thuật cơ bản hoặc định lượng chất chính tạo nên giá trị sử dụng, công dụng của hàng hóa sai lệch so với mức tối thiểu quy định tại quy chuẩn kỹ thuật hoặc tiêu chuẩn chất lượng đã đăng ký, công bố áp dụng hoặc ghi trên nhãn, bao bì hàng hóa theo tỷ lệ, mức độ do pháp luật quy định;</w:t>
      </w:r>
      <w:bookmarkStart w:id="14" w:name="bookmark35"/>
      <w:bookmarkEnd w:id="14"/>
    </w:p>
    <w:p w14:paraId="04D9EE71"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bookmarkStart w:id="15" w:name="bookmark36"/>
      <w:bookmarkEnd w:id="15"/>
      <w:r w:rsidRPr="00ED5E38">
        <w:rPr>
          <w:i/>
          <w:iCs/>
          <w:noProof/>
          <w:color w:val="000000" w:themeColor="text1"/>
          <w:sz w:val="26"/>
          <w:szCs w:val="26"/>
          <w:lang w:val="vi-VN"/>
        </w:rPr>
        <w:t>c) Thuốc thú y, thuốc bảo vệ thực vật không có hoạt chất; không có đủ loại hoạt chất đã đăng ký; có hoạt chất khác với hoạt chất ghi trên nhãn, bao bì hàng hóa; có ít nhất một trong các hàm lượng hoạt chất sai lệch so với mức tối thiểu quy định tại quy chuẩn kỹ thuật hoặc tiêu chuẩn chất lượng đã đăng ký, công bố áp dụng theo tỷ lệ, mức độ do pháp luật quy định;;</w:t>
      </w:r>
    </w:p>
    <w:p w14:paraId="379D0C2A"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d) Hàng hóa có nhãn hàng hóa hoặc bao bì hàng hóa ghi chỉ dẫn giả mạo tên, địa 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w:t>
      </w:r>
    </w:p>
    <w:p w14:paraId="1EE87A0E"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bookmarkStart w:id="16" w:name="bookmark37"/>
      <w:bookmarkEnd w:id="16"/>
      <w:r w:rsidRPr="00ED5E38">
        <w:rPr>
          <w:i/>
          <w:iCs/>
          <w:noProof/>
          <w:color w:val="000000" w:themeColor="text1"/>
          <w:sz w:val="26"/>
          <w:szCs w:val="26"/>
          <w:lang w:val="vi-VN"/>
        </w:rPr>
        <w:t>đ) Tem, nhãn, bao bì hàng hóa giả;</w:t>
      </w:r>
    </w:p>
    <w:p w14:paraId="579F39E9"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e) Luật, Nghị quyết của Quốc hội, Pháp lệnh của Ủy ban Thường vụ Quốc hội và Nghị định của Chính phủ có quy định khác về hàng giả thì thực hiện theo quy định đó:</w:t>
      </w:r>
    </w:p>
    <w:p w14:paraId="127D7CC9"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bookmarkStart w:id="17" w:name="bookmark33"/>
      <w:bookmarkEnd w:id="17"/>
      <w:r w:rsidRPr="00ED5E38">
        <w:rPr>
          <w:i/>
          <w:iCs/>
          <w:noProof/>
          <w:color w:val="000000" w:themeColor="text1"/>
          <w:sz w:val="26"/>
          <w:szCs w:val="26"/>
          <w:lang w:val="vi-VN"/>
        </w:rPr>
        <w:t>g) Hàng hóa mà pháp luật khác có quy định là hàng giả.</w:t>
      </w:r>
    </w:p>
    <w:p w14:paraId="7328D607"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b/>
          <w:bCs/>
          <w:i/>
          <w:iCs/>
          <w:noProof/>
          <w:color w:val="000000" w:themeColor="text1"/>
          <w:sz w:val="26"/>
          <w:szCs w:val="26"/>
          <w:lang w:val="vi-VN"/>
        </w:rPr>
        <w:t>Phương án 2:</w:t>
      </w:r>
      <w:r w:rsidRPr="00ED5E38">
        <w:rPr>
          <w:i/>
          <w:iCs/>
          <w:noProof/>
          <w:color w:val="000000" w:themeColor="text1"/>
          <w:sz w:val="26"/>
          <w:szCs w:val="26"/>
          <w:lang w:val="vi-VN"/>
        </w:rPr>
        <w:t xml:space="preserve"> Quy định chung và giao Chính phủ quy định cụ thể. Cụ thể:</w:t>
      </w:r>
    </w:p>
    <w:p w14:paraId="00A7AE6D"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Hàng giả bao gồm bao gồm hàng hóa thuộc một trong các trường hợp sau đây: </w:t>
      </w:r>
    </w:p>
    <w:p w14:paraId="3BDB4405"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a) Hàng giả giá trị sử dụng, công dụng chất lượng; </w:t>
      </w:r>
    </w:p>
    <w:p w14:paraId="65CD450A" w14:textId="64D49C25"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lastRenderedPageBreak/>
        <w:t xml:space="preserve">b) Hàng giả </w:t>
      </w:r>
      <w:r w:rsidR="00041E29" w:rsidRPr="00ED5E38">
        <w:rPr>
          <w:i/>
          <w:iCs/>
          <w:noProof/>
          <w:color w:val="000000" w:themeColor="text1"/>
          <w:sz w:val="26"/>
          <w:szCs w:val="26"/>
          <w:lang w:val="vi-VN"/>
        </w:rPr>
        <w:t xml:space="preserve">có </w:t>
      </w:r>
      <w:r w:rsidRPr="00ED5E38">
        <w:rPr>
          <w:i/>
          <w:iCs/>
          <w:noProof/>
          <w:color w:val="000000" w:themeColor="text1"/>
          <w:sz w:val="26"/>
          <w:szCs w:val="26"/>
          <w:lang w:val="vi-VN"/>
        </w:rPr>
        <w:t>nhãn, bao bì hàng hoá</w:t>
      </w:r>
      <w:r w:rsidR="00041E29" w:rsidRPr="00ED5E38">
        <w:rPr>
          <w:i/>
          <w:iCs/>
          <w:noProof/>
          <w:color w:val="000000" w:themeColor="text1"/>
          <w:sz w:val="26"/>
          <w:szCs w:val="26"/>
          <w:lang w:val="vi-VN"/>
        </w:rPr>
        <w:t xml:space="preserve"> chứa thông tin giả mạo</w:t>
      </w:r>
      <w:r w:rsidRPr="00ED5E38">
        <w:rPr>
          <w:i/>
          <w:iCs/>
          <w:noProof/>
          <w:color w:val="000000" w:themeColor="text1"/>
          <w:sz w:val="26"/>
          <w:szCs w:val="26"/>
          <w:lang w:val="vi-VN"/>
        </w:rPr>
        <w:t xml:space="preserve">; </w:t>
      </w:r>
    </w:p>
    <w:p w14:paraId="06C9C892" w14:textId="77ABA086" w:rsidR="00F76D23" w:rsidRPr="00ED5E38" w:rsidRDefault="00041E29"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c</w:t>
      </w:r>
      <w:r w:rsidR="00F76D23" w:rsidRPr="00ED5E38">
        <w:rPr>
          <w:i/>
          <w:iCs/>
          <w:noProof/>
          <w:color w:val="000000" w:themeColor="text1"/>
          <w:sz w:val="26"/>
          <w:szCs w:val="26"/>
          <w:lang w:val="vi-VN"/>
        </w:rPr>
        <w:t>) Tem, nhãn, bao bì hàng hóa giả.</w:t>
      </w:r>
    </w:p>
    <w:p w14:paraId="062041D7" w14:textId="68314943" w:rsidR="00F76D23" w:rsidRPr="00ED5E38" w:rsidRDefault="00F76D23" w:rsidP="00FD5E31">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Chính phủ quy định chi tiết xác định cụ thể các trường hợp được xác định là “giả mạo giá trị sử dụng, công dụng chất lượng”, “nhãn, bao bì hàng hoá</w:t>
      </w:r>
      <w:r w:rsidR="00041E29" w:rsidRPr="00ED5E38">
        <w:rPr>
          <w:i/>
          <w:iCs/>
          <w:noProof/>
          <w:color w:val="000000" w:themeColor="text1"/>
          <w:sz w:val="26"/>
          <w:szCs w:val="26"/>
          <w:lang w:val="vi-VN"/>
        </w:rPr>
        <w:t xml:space="preserve"> có chứa thông tin giả mạo</w:t>
      </w:r>
      <w:r w:rsidRPr="00ED5E38">
        <w:rPr>
          <w:i/>
          <w:iCs/>
          <w:noProof/>
          <w:color w:val="000000" w:themeColor="text1"/>
          <w:sz w:val="26"/>
          <w:szCs w:val="26"/>
          <w:lang w:val="vi-VN"/>
        </w:rPr>
        <w:t>”;</w:t>
      </w:r>
      <w:r w:rsidR="00041E29" w:rsidRPr="00ED5E38">
        <w:rPr>
          <w:i/>
          <w:iCs/>
          <w:noProof/>
          <w:color w:val="000000" w:themeColor="text1"/>
          <w:sz w:val="26"/>
          <w:szCs w:val="26"/>
          <w:lang w:val="vi-VN"/>
        </w:rPr>
        <w:t xml:space="preserve"> </w:t>
      </w:r>
      <w:r w:rsidRPr="00ED5E38">
        <w:rPr>
          <w:i/>
          <w:iCs/>
          <w:noProof/>
          <w:color w:val="000000" w:themeColor="text1"/>
          <w:sz w:val="26"/>
          <w:szCs w:val="26"/>
          <w:lang w:val="vi-VN"/>
        </w:rPr>
        <w:t>“Tem, nhãn, bao bì hàng hóa giả”.</w:t>
      </w:r>
    </w:p>
    <w:p w14:paraId="1E8A7C72" w14:textId="77777777" w:rsidR="00F76D23" w:rsidRPr="00ED5E38" w:rsidRDefault="00F76D23" w:rsidP="00FD5E31">
      <w:pPr>
        <w:tabs>
          <w:tab w:val="right" w:leader="dot" w:pos="7920"/>
        </w:tabs>
        <w:spacing w:before="120" w:after="120" w:line="340" w:lineRule="exact"/>
        <w:ind w:firstLine="709"/>
        <w:jc w:val="both"/>
        <w:rPr>
          <w:b/>
          <w:noProof/>
          <w:color w:val="000000" w:themeColor="text1"/>
          <w:sz w:val="26"/>
          <w:szCs w:val="26"/>
          <w:lang w:val="vi-VN"/>
        </w:rPr>
      </w:pPr>
      <w:r w:rsidRPr="00ED5E38">
        <w:rPr>
          <w:b/>
          <w:i/>
          <w:iCs/>
          <w:noProof/>
          <w:color w:val="000000" w:themeColor="text1"/>
          <w:sz w:val="26"/>
          <w:szCs w:val="26"/>
          <w:lang w:val="vi-VN"/>
        </w:rPr>
        <w:t>- Tác động đối với hệ thống pháp luật:</w:t>
      </w:r>
      <w:r w:rsidRPr="00ED5E38">
        <w:rPr>
          <w:b/>
          <w:noProof/>
          <w:color w:val="000000" w:themeColor="text1"/>
          <w:sz w:val="26"/>
          <w:szCs w:val="26"/>
          <w:lang w:val="vi-VN"/>
        </w:rPr>
        <w:t xml:space="preserve"> </w:t>
      </w:r>
    </w:p>
    <w:p w14:paraId="41D4E2C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hiến:</w:t>
      </w:r>
    </w:p>
    <w:p w14:paraId="1F0BC89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ab/>
        <w:t xml:space="preserve">Việc quy định khái niệm “hàng giả” trong Luật Thương mại nhằm bảo đảm quyền con người, quyền công dân quy định tại khoản 1 Điều 20 Hiến pháp năm 2013: </w:t>
      </w:r>
      <w:r w:rsidRPr="00ED5E38">
        <w:rPr>
          <w:i/>
          <w:iCs/>
          <w:noProof/>
          <w:color w:val="000000" w:themeColor="text1"/>
          <w:sz w:val="26"/>
          <w:szCs w:val="26"/>
          <w:lang w:val="vi-VN"/>
        </w:rPr>
        <w:t xml:space="preserve">“Mọi người có quyền bất khả xâm phạm về thân thể, </w:t>
      </w:r>
      <w:r w:rsidRPr="00ED5E38">
        <w:rPr>
          <w:b/>
          <w:bCs/>
          <w:i/>
          <w:iCs/>
          <w:noProof/>
          <w:color w:val="000000" w:themeColor="text1"/>
          <w:sz w:val="26"/>
          <w:szCs w:val="26"/>
          <w:lang w:val="vi-VN"/>
        </w:rPr>
        <w:t>được pháp luật bảo hộ về sức khỏe</w:t>
      </w:r>
      <w:r w:rsidRPr="00ED5E38">
        <w:rPr>
          <w:i/>
          <w:iCs/>
          <w:noProof/>
          <w:color w:val="000000" w:themeColor="text1"/>
          <w:sz w:val="26"/>
          <w:szCs w:val="26"/>
          <w:lang w:val="vi-VN"/>
        </w:rPr>
        <w:t>, danh dự và nhân phẩm</w:t>
      </w:r>
      <w:r w:rsidRPr="00ED5E38">
        <w:rPr>
          <w:b/>
          <w:bCs/>
          <w:i/>
          <w:iCs/>
          <w:noProof/>
          <w:color w:val="000000" w:themeColor="text1"/>
          <w:sz w:val="26"/>
          <w:szCs w:val="26"/>
          <w:lang w:val="vi-VN"/>
        </w:rPr>
        <w:t>; không bị tra tấn, bạo lực, truy bức, nhục hình hay bất kỳ hình thức đối xử nào khác xâm phạm thân thể, sức khỏe</w:t>
      </w:r>
      <w:r w:rsidRPr="00ED5E38">
        <w:rPr>
          <w:i/>
          <w:iCs/>
          <w:noProof/>
          <w:color w:val="000000" w:themeColor="text1"/>
          <w:sz w:val="26"/>
          <w:szCs w:val="26"/>
          <w:lang w:val="vi-VN"/>
        </w:rPr>
        <w:t>, xúc phạm danh dự, nhân phẩm”</w:t>
      </w:r>
      <w:r w:rsidRPr="00ED5E38">
        <w:rPr>
          <w:noProof/>
          <w:color w:val="000000" w:themeColor="text1"/>
          <w:sz w:val="26"/>
          <w:szCs w:val="26"/>
          <w:lang w:val="vi-VN"/>
        </w:rPr>
        <w:t xml:space="preserve"> và khoản 2 Điều 38 Hiến pháp năm 2013: </w:t>
      </w:r>
      <w:r w:rsidRPr="00ED5E38">
        <w:rPr>
          <w:i/>
          <w:iCs/>
          <w:noProof/>
          <w:color w:val="000000" w:themeColor="text1"/>
          <w:sz w:val="26"/>
          <w:szCs w:val="26"/>
          <w:lang w:val="vi-VN"/>
        </w:rPr>
        <w:t>“Nghiêm cấm các hành vi đe dọa cuộc sống, sức khỏe của người khác và cộng đồng.”</w:t>
      </w:r>
      <w:r w:rsidRPr="00ED5E38">
        <w:rPr>
          <w:noProof/>
          <w:color w:val="000000" w:themeColor="text1"/>
          <w:sz w:val="26"/>
          <w:szCs w:val="26"/>
          <w:lang w:val="vi-VN"/>
        </w:rPr>
        <w:t xml:space="preserve"> Theo đó, việc quy định khái niệm “hàng giả” trong Luật Thương mại tạo cơ sở pháp lý mạnh mẽ trong việc đấu tranh, phòng, chống các hành vi sản xuất, buôn bán những hàng hóa được xác định là “hàng giả”, qua đó bảo vệ sức khỏe của cộng đồng.  </w:t>
      </w:r>
    </w:p>
    <w:p w14:paraId="221A8DAA" w14:textId="61F15A42"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Đồng thời, việc quy định các trường hợp được xác định là “hàng giả” trong Luật Thương mại cũng tạo môi trường kinh doanh lành mạnh, bảo đảm công bằng, đảm bảo mục tiêu phát triển kinh tế bền vững theo quy định tại khoản 3 Điều 51 Hiến pháp năm 2013: </w:t>
      </w:r>
      <w:r w:rsidRPr="00ED5E38">
        <w:rPr>
          <w:i/>
          <w:iCs/>
          <w:noProof/>
          <w:color w:val="000000" w:themeColor="text1"/>
          <w:sz w:val="26"/>
          <w:szCs w:val="26"/>
          <w:lang w:val="vi-VN"/>
        </w:rPr>
        <w:t>“Nhà nước khuyến khích, tạo điều kiện để doanh nhân, doanh nghiệp và cá nhân, tổ chức khác đầu tư, sản xuất, kinh doanh; phát triển bền vững các ngành kinh tế, góp phần xây dựng đất nước.”</w:t>
      </w:r>
      <w:r w:rsidRPr="00ED5E38">
        <w:rPr>
          <w:noProof/>
          <w:color w:val="000000" w:themeColor="text1"/>
          <w:sz w:val="26"/>
          <w:szCs w:val="26"/>
          <w:lang w:val="vi-VN"/>
        </w:rPr>
        <w:t xml:space="preserve"> và Điều 52 Hiến pháp năm 2013: </w:t>
      </w:r>
      <w:r w:rsidRPr="00ED5E38">
        <w:rPr>
          <w:i/>
          <w:iCs/>
          <w:noProof/>
          <w:color w:val="000000" w:themeColor="text1"/>
          <w:sz w:val="26"/>
          <w:szCs w:val="26"/>
          <w:lang w:val="vi-VN"/>
        </w:rPr>
        <w:t>“Nhà nước xây dựng và hoàn thiện thể chế kinh tế, điều tiết nền kinh tế trên cơ sở tôn trọng các quy luật thị trường”</w:t>
      </w:r>
      <w:r w:rsidRPr="00ED5E38">
        <w:rPr>
          <w:noProof/>
          <w:color w:val="000000" w:themeColor="text1"/>
          <w:sz w:val="26"/>
          <w:szCs w:val="26"/>
          <w:lang w:val="vi-VN"/>
        </w:rPr>
        <w:t>.</w:t>
      </w:r>
      <w:r w:rsidR="000E61FF" w:rsidRPr="00ED5E38">
        <w:rPr>
          <w:noProof/>
          <w:color w:val="000000" w:themeColor="text1"/>
          <w:sz w:val="26"/>
          <w:szCs w:val="26"/>
          <w:lang w:val="vi-VN"/>
        </w:rPr>
        <w:t xml:space="preserve"> </w:t>
      </w:r>
    </w:p>
    <w:p w14:paraId="6FB9799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Việc quy định các trường hợp được xác định là “hàng giả”  trong Luật Thương mại cũng có liên quan trực tiếp quyền tự do kinh doanh được quy định tại Điều 33 Hiến pháp năm 2013: </w:t>
      </w:r>
      <w:r w:rsidRPr="00ED5E38">
        <w:rPr>
          <w:i/>
          <w:iCs/>
          <w:noProof/>
          <w:color w:val="000000" w:themeColor="text1"/>
          <w:sz w:val="26"/>
          <w:szCs w:val="26"/>
          <w:lang w:val="vi-VN"/>
        </w:rPr>
        <w:t>“Mọi người có quyền tự do kinh doanh trong những ngành nghề mà pháp luật không cấm”</w:t>
      </w:r>
      <w:r w:rsidRPr="00ED5E38">
        <w:rPr>
          <w:noProof/>
          <w:color w:val="000000" w:themeColor="text1"/>
          <w:sz w:val="26"/>
          <w:szCs w:val="26"/>
          <w:lang w:val="vi-VN"/>
        </w:rPr>
        <w:t xml:space="preserve"> do quy định khái niệm “hàng giả” sẽ những giới hạn nhất định đối với tổ chức, cá nhân khi thực hiện kinh doanh của mình. Tuy nhiên, theo quy định tại khoản 2 Điều 14 Hiến pháp năm 2013: </w:t>
      </w:r>
      <w:r w:rsidRPr="00ED5E38">
        <w:rPr>
          <w:i/>
          <w:iCs/>
          <w:noProof/>
          <w:color w:val="000000" w:themeColor="text1"/>
          <w:sz w:val="26"/>
          <w:szCs w:val="26"/>
          <w:lang w:val="vi-VN"/>
        </w:rPr>
        <w:t>“</w:t>
      </w:r>
      <w:r w:rsidRPr="00ED5E38">
        <w:rPr>
          <w:b/>
          <w:bCs/>
          <w:i/>
          <w:iCs/>
          <w:noProof/>
          <w:color w:val="000000" w:themeColor="text1"/>
          <w:sz w:val="26"/>
          <w:szCs w:val="26"/>
          <w:lang w:val="vi-VN"/>
        </w:rPr>
        <w:t>Quyền con người, quyền công dân chỉ có thể bị hạn chế theo quy định của luật trong trường hợp cần thiết vì</w:t>
      </w:r>
      <w:r w:rsidRPr="00ED5E38">
        <w:rPr>
          <w:i/>
          <w:iCs/>
          <w:noProof/>
          <w:color w:val="000000" w:themeColor="text1"/>
          <w:sz w:val="26"/>
          <w:szCs w:val="26"/>
          <w:lang w:val="vi-VN"/>
        </w:rPr>
        <w:t xml:space="preserve"> lý do quốc phòng, an ninh quốc gia</w:t>
      </w:r>
      <w:r w:rsidRPr="00ED5E38">
        <w:rPr>
          <w:b/>
          <w:bCs/>
          <w:i/>
          <w:iCs/>
          <w:noProof/>
          <w:color w:val="000000" w:themeColor="text1"/>
          <w:sz w:val="26"/>
          <w:szCs w:val="26"/>
          <w:lang w:val="vi-VN"/>
        </w:rPr>
        <w:t>, trật tự, an toàn xã hội, đạo đức xã hội,</w:t>
      </w:r>
      <w:r w:rsidRPr="00ED5E38">
        <w:rPr>
          <w:i/>
          <w:iCs/>
          <w:noProof/>
          <w:color w:val="000000" w:themeColor="text1"/>
          <w:sz w:val="26"/>
          <w:szCs w:val="26"/>
          <w:lang w:val="vi-VN"/>
        </w:rPr>
        <w:t xml:space="preserve"> </w:t>
      </w:r>
      <w:r w:rsidRPr="00ED5E38">
        <w:rPr>
          <w:b/>
          <w:bCs/>
          <w:i/>
          <w:iCs/>
          <w:noProof/>
          <w:color w:val="000000" w:themeColor="text1"/>
          <w:sz w:val="26"/>
          <w:szCs w:val="26"/>
          <w:lang w:val="vi-VN"/>
        </w:rPr>
        <w:t>sức khỏe của cộng đồng</w:t>
      </w:r>
      <w:r w:rsidRPr="00ED5E38">
        <w:rPr>
          <w:i/>
          <w:iCs/>
          <w:noProof/>
          <w:color w:val="000000" w:themeColor="text1"/>
          <w:sz w:val="26"/>
          <w:szCs w:val="26"/>
          <w:lang w:val="vi-VN"/>
        </w:rPr>
        <w:t>.”</w:t>
      </w:r>
      <w:r w:rsidRPr="00ED5E38">
        <w:rPr>
          <w:noProof/>
          <w:color w:val="000000" w:themeColor="text1"/>
          <w:sz w:val="26"/>
          <w:szCs w:val="26"/>
          <w:lang w:val="vi-VN"/>
        </w:rPr>
        <w:t xml:space="preserve"> Do đó, việc quy định khái niệm “hàng giả” trong Luật Thương mại phù hợp và không trái với quy định của Hiến pháp.</w:t>
      </w:r>
    </w:p>
    <w:p w14:paraId="39797C1A"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pháp, tính thống nhất của chính sách với hệ thống pháp luật:</w:t>
      </w:r>
    </w:p>
    <w:p w14:paraId="049AD5C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(1) Về quy định pháp luật hiện hành về hàng giả: </w:t>
      </w:r>
    </w:p>
    <w:p w14:paraId="4307EF1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Hiện nay, thuật ngữ “hàng giả” đã được nhắc đến tại các văn bản quy phạm pháp luật như Luật Thương mại năm 2005 (khoản 4 Điều 123; điểm c khoản 1 Điều 134; điểm </w:t>
      </w:r>
      <w:r w:rsidRPr="00ED5E38">
        <w:rPr>
          <w:noProof/>
          <w:color w:val="000000" w:themeColor="text1"/>
          <w:sz w:val="26"/>
          <w:szCs w:val="26"/>
          <w:lang w:val="vi-VN"/>
        </w:rPr>
        <w:lastRenderedPageBreak/>
        <w:t>e khoản 1 Điều 320); Luật Xử lý vi phạm hành chính (tại các Điều 6; Điều 24; Điều 60; Điều 72); Bộ luật Hình sự năm 2015, được sửa đổi năm 2017 (</w:t>
      </w:r>
      <w:r w:rsidRPr="00ED5E38">
        <w:rPr>
          <w:i/>
          <w:iCs/>
          <w:noProof/>
          <w:color w:val="000000" w:themeColor="text1"/>
          <w:sz w:val="26"/>
          <w:szCs w:val="26"/>
          <w:lang w:val="vi-VN"/>
        </w:rPr>
        <w:t xml:space="preserve">sau đây gọi chung là Bộ luật Hình sự) </w:t>
      </w:r>
      <w:r w:rsidRPr="00ED5E38">
        <w:rPr>
          <w:noProof/>
          <w:color w:val="000000" w:themeColor="text1"/>
          <w:sz w:val="26"/>
          <w:szCs w:val="26"/>
          <w:lang w:val="vi-VN"/>
        </w:rPr>
        <w:t>(tại các Điều 192; Điều 193; Điều 194; Điều 195). Tuy nhiên, cả Luật Thương mại, Luật Xử lý vi phạm hành chính và Bộ luật Hình sự hiện nay đều không có quy định khái niệm “hàng giả” mà hiện nay khái niệm này đang được quy định tại khoản 7, khoản 8 Điều 3 của Nghị định số 98/2020/NĐ-CP theo hướng liệt kê. Theo đó, hàng hóa được xác định là “hàng giả” theo quy định tại Nghị định 98/2020/NĐ-CP về cơ bản khi có dấu hiệu: (i) giả về nội dung (giả giá trị sử dụng, công dụng, chất lượng); (ii) hoặc giả về hình thức (hàng hóa có nhãn hàng hóa hoặc bao bì hàng hóa ghi chỉ dẫn giả mạo tên, địa 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 (iii) tem, nhãn, bao bì hàng hóa giả).</w:t>
      </w:r>
    </w:p>
    <w:p w14:paraId="226BF6E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(2) Về sự trùng lặp hoặc mẫu thuẫn hoặc khả năng tạo ra xung đột với quy định của pháp luật hiện hành</w:t>
      </w:r>
    </w:p>
    <w:p w14:paraId="22EB186A"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Về nguy cơ trùng lặp giữa khái niệm “hàng giả” ở Luật Thương mại và “hàng giả giả mạo nhãn hiệu/chỉ dẫn địa lý”, hành vi cạnh tranh không lành mạnh trong Luật Sở hữu trí tuệ </w:t>
      </w:r>
    </w:p>
    <w:p w14:paraId="30146BF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Khoản 2, khoản 3 Điều 213 Luật Sở hữu trí tuệ quy định:</w:t>
      </w:r>
    </w:p>
    <w:p w14:paraId="1A7E5A7E"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“2. Hàng hóa giả mạo nhãn hiệu là hàng hóa, bao bì của hàng hóa có gắn nhãn hiệu hoặc dấu hiệu hoặc tem, nhãn có chứa các dấu hiệu trùng hoặc tương tự đến mức khó phân biệt với nhãn hiệu đang được bảo hộ dùng cho chính mặt hàng đó mà không được phép của chủ sở hữu nhãn hiệu.</w:t>
      </w:r>
    </w:p>
    <w:p w14:paraId="7C6247F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3. Hàng hóa giả mạo chỉ dẫn địa lý là hàng hóa, bao bì của hàng hóa có gắn dấu hiệu hoặc tem, nhãn có chứa các dấu hiệu trùng hoặc tương tự đến mức khó phân biệt với chỉ dẫn địa lý đang được bảo hộ dùng cho chính mặt hàng đó và việc gắn dấu hiệu này được thực hiện bởi tổ chức, cá nhân không có quyền sử dụng chỉ dẫn địa lý theo quy định tại </w:t>
      </w:r>
      <w:bookmarkStart w:id="18" w:name="tc_152"/>
      <w:r w:rsidRPr="00ED5E38">
        <w:rPr>
          <w:i/>
          <w:iCs/>
          <w:noProof/>
          <w:color w:val="000000" w:themeColor="text1"/>
          <w:sz w:val="26"/>
          <w:szCs w:val="26"/>
          <w:lang w:val="vi-VN"/>
        </w:rPr>
        <w:t>khoản 4 Điều 121 của Luật này</w:t>
      </w:r>
      <w:bookmarkEnd w:id="18"/>
      <w:r w:rsidRPr="00ED5E38">
        <w:rPr>
          <w:i/>
          <w:iCs/>
          <w:noProof/>
          <w:color w:val="000000" w:themeColor="text1"/>
          <w:sz w:val="26"/>
          <w:szCs w:val="26"/>
          <w:lang w:val="vi-VN"/>
        </w:rPr>
        <w:t> hoặc theo pháp luật của nước xuất xứ của chỉ dẫn địa lý đó.”</w:t>
      </w:r>
    </w:p>
    <w:p w14:paraId="6170F2A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Hay một số hành vi cạnh tranh không lành mạnh trong Luật Sở hữu trí tuệ quy định tại Điều 130 Luật Sở hữu trí tuệ, cụ thể:</w:t>
      </w:r>
    </w:p>
    <w:p w14:paraId="4518E108"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bookmarkStart w:id="19" w:name="dieu_130"/>
      <w:r w:rsidRPr="00ED5E38">
        <w:rPr>
          <w:b/>
          <w:bCs/>
          <w:i/>
          <w:iCs/>
          <w:noProof/>
          <w:color w:val="000000" w:themeColor="text1"/>
          <w:sz w:val="26"/>
          <w:szCs w:val="26"/>
          <w:lang w:val="vi-VN"/>
        </w:rPr>
        <w:t>“Điều 130. Hành vi cạnh tranh không lành mạnh</w:t>
      </w:r>
      <w:bookmarkEnd w:id="19"/>
    </w:p>
    <w:p w14:paraId="667DC1E0"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1. Các hành vi sau đây bị coi là hành vi cạnh tranh không lành mạnh:</w:t>
      </w:r>
    </w:p>
    <w:p w14:paraId="0183A3A4"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a) Sử dụng chỉ dẫn thương mại gây nhầm lẫn về chủ thể kinh doanh, hoạt động kinh doanh, nguồn gốc thương mại của hàng hóa, dịch vụ;</w:t>
      </w:r>
    </w:p>
    <w:p w14:paraId="32298852"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b) Sử dụng chỉ dẫn thương mại gây nhầm lẫn về xuất xứ, cách sản xuất, tính năng, chất lượng, số lượng hoặc đặc điểm khác của hàng hóa, dịch vụ; về điều kiện cung cấp hàng hóa, dịch vụ;</w:t>
      </w:r>
    </w:p>
    <w:p w14:paraId="7E5F7F0A"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lastRenderedPageBreak/>
        <w:t>c) Sử dụng nhãn hiệu được bảo hộ tại một nước là thành viên của điều ước quốc tế có quy định cấm người đại diện hoặc đại lý của chủ sở hữu nhãn hiệu sử dụng nhãn hiệu đó mà Cộng hoà xã hội chủ nghĩa Việt Nam cũng là thành viên, nếu người sử dụng là người đại diện hoặc đại lý của chủ sở hữu nhãn hiệu và việc sử dụng đó không được sự đồng ý của chủ sở hữu nhãn hiệu và không có lý do chính đáng;</w:t>
      </w:r>
    </w:p>
    <w:p w14:paraId="30999264"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d)</w:t>
      </w:r>
      <w:bookmarkStart w:id="20" w:name="_ftnref142"/>
      <w:bookmarkEnd w:id="20"/>
      <w:r w:rsidRPr="00ED5E38">
        <w:rPr>
          <w:i/>
          <w:iCs/>
          <w:noProof/>
          <w:color w:val="000000" w:themeColor="text1"/>
          <w:sz w:val="26"/>
          <w:szCs w:val="26"/>
          <w:lang w:val="vi-VN"/>
        </w:rPr>
        <w:t> Chiếm hữu, sử dụng tên miền trùng hoặc tương tự gây nhầm lẫn với nhãn hiệu, tên thương mại được bảo hộ của người khác hoặc chỉ dẫn địa lý mà mình không có quyền sử dụng với dụng ý xấu, lợi dụng uy tín, danh tiếng của nhãn hiệu, tên thương mại, chỉ dẫn địa lý tương ứng nhằm thu lợi bất chính.</w:t>
      </w:r>
    </w:p>
    <w:p w14:paraId="0E91C9D8"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2. Chỉ dẫn thương mại quy định tại khoản 1 Điều này là các dấu hiệu, thông tin nhằm hướng dẫn thương mại hàng hóa, dịch vụ, bao gồm nhãn hiệu, tên thương mại, biểu tượng kinh doanh, khẩu hiệu kinh doanh, chỉ dẫn địa lý, kiểu dáng bao bì của hàng hóa, nhãn hàng hóa.</w:t>
      </w:r>
    </w:p>
    <w:p w14:paraId="09F909D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3. Hành vi sử dụng chỉ dẫn thương mại quy định tại khoản 1 Điều này bao gồm các hành vi gắn chỉ dẫn thương mại đó lên hàng hóa, bao bì hàng hóa, phương tiện dịch vụ, giấy tờ giao dịch kinh doanh, phương tiện quảng cáo; bán, quảng cáo để bán, tàng trữ để bán, nhập khẩu hàng hóa có gắn chỉ dẫn thương mại đó.”</w:t>
      </w:r>
    </w:p>
    <w:p w14:paraId="31FB0A3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khi đó, hàng giả về hình thức và tem, nhãn, bao bì hàng hóa giả từ Nghị định số 98/2020/NĐ-CP, bao gồm:</w:t>
      </w:r>
    </w:p>
    <w:p w14:paraId="06C3D805" w14:textId="77777777" w:rsidR="00F76D23" w:rsidRPr="00ED5E38" w:rsidRDefault="00F76D23" w:rsidP="00FD5E31">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Hàng hóa có nhãn hàng hóa hoặc bao bì hàng hóa ghi chỉ dẫn giả mạo tên, địa chỉ tổ chức, cá nhân sản xuất hoặc nhập khẩu, phân phối hàng hóa; giả mạo mã số đăng ký lưu hành, mã số công bố, mã số mã vạch của hàng hóa hoặc giả mạo bao bì hàng hóa của tổ chức, cá nhân khác; giả mạo về nguồn gốc, xuất xứ hàng hóa hoặc nơi sản xuất, đóng gói, lắp ráp hàng hóa;</w:t>
      </w:r>
    </w:p>
    <w:p w14:paraId="2242EAD8" w14:textId="77777777" w:rsidR="00F76D23" w:rsidRPr="00ED5E38" w:rsidRDefault="00F76D23" w:rsidP="00FD5E31">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Tem, nhãn, bao bì hàng hóa giả. Trong đó, “tem, nhãn, bao bì hàng hóa giả” gồm đề can, nhãn hàng hóa, bao bì hàng hóa, các loại tem chất lượng, dấu chất lượng, tem truy xuất nguồn gốc, phiếu bảo hành, niêm màng co hàng hóa hoặc vật phẩm khác của tổ chức, cá nhân kinh doanh có chỉ dẫn giả mạo tên, địa chỉ của tổ chức, cá nhân khác; giả mạo tên thương mại, tên thương phẩm, mã số mã vạch, mã số đăng ký lưu hành, mã số công bố của hàng hóa hoặc bao bì hàng hóa của tổ chức, cá nhân khác.</w:t>
      </w:r>
    </w:p>
    <w:p w14:paraId="7C382EB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Nguy cơ trùng lặp trong áp dụng pháp luật này xuất phát từ đặc điểm của hàng giả trong thực tiễn là có thể vừa gian dối về chất lượng, công dụng, vừa gian dối về nhãn, bao bì của hàng hóa và cũng có thể xâm phạm đến quyền sở hữu trí tuệ của chủ thể quyền. Sự giao thoa này xuất phát từ trong thực tế chứ không phải trùng lặp, chồng chéo trong mục tiêu, định hướng cũng như ý nghĩa giữa Giải pháp 1 và các quy định trong Luật Sở hữu trí tuệ. </w:t>
      </w:r>
    </w:p>
    <w:p w14:paraId="12642E6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Về bản chất, quy định “hàng giả” trong Luật Thương mại theo Giải pháp 1 và quy định về hàng giả mạo nhãn hiệu/chỉ dẫn địa lý hay hành vi cạnh tranh không lành mạnh trong Luật Sở hữu trí tuệ không mâu thuẫn về mục tiêu điều chỉnh bởi hai nhóm </w:t>
      </w:r>
      <w:r w:rsidRPr="00ED5E38">
        <w:rPr>
          <w:noProof/>
          <w:color w:val="000000" w:themeColor="text1"/>
          <w:sz w:val="26"/>
          <w:szCs w:val="26"/>
          <w:lang w:val="vi-VN"/>
        </w:rPr>
        <w:lastRenderedPageBreak/>
        <w:t xml:space="preserve">quy định hướng tới mục đích khác nhau cũng như cách thể hiện khác nhau dù có thể cùng được gắn trên nhãn hoặc bao bì của hàng hoá. Luật Thương mại với vai trò khung điều chỉnh hoạt động thương mại là nền tảng hợp lý để thiết lập chuẩn khái niệm nhằm thống nhất áp dụng trên thị trường, tạo cơ sở pháp lý rõ ràng cho lực lượng quản lý thị trường và các cơ quan thực thi khi ngăn chặn, thu giữ, xử lý. Do đó, quy định về “hàng giả” trong Luật Thương mại chủ yếu nhằm bảo vệ người tiêu dùng, trật tự quản lý thị trường và tính trung thực của giao dịch thương mại, đồng thời mang tính răn đe đối với các hành vi sản xuất, buôn bán hàng giả, qua đó bảo đảm an toàn, quyền lợi của người tiêu dùng và môi trường cạnh tranh lành mạnh. Theo đó, Giải pháp 1 nhằm hướng tới tránh bỏ lọt các trường hợp hàng hóa giả về nhãn, bao bì, nguồn gốc, xuất xứ hay tem, nhãn, bao bì, hàng hóa giả mà chưa được bảo hộ theo pháp luật về sở hữu trí tuệ. Trong khi đó, quy định của Luật Sở hữu trí tuệ hướng đến bảo vệ quyền tài sản vô hình và lợi ích hợp pháp của chủ thể quyền, bảo đảm cơ chế khuyến khích sáng tạo, đầu tư và duy trì giá trị tài sản trí tuệ. </w:t>
      </w:r>
    </w:p>
    <w:p w14:paraId="28558AE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nguy cơ trùng lặp giữa khái niệm “hàng giả” về nội dung (công dụng, giá trị sử dụng và chất lượng) với thuật ngữ “hàng hóa không bảo đảm chất lượng hàng hóa” quy định tại Điều 608 Bộ luật Dân sự, “hàng hóa không phù hợp tiêu chuẩn công bố áp dụng, quy chuẩn kỹ thuật” trong Luật Chất lượng sản phẩm, hàng hóa (có thường được gọi là “hàng kém chất lượng”)</w:t>
      </w:r>
    </w:p>
    <w:p w14:paraId="74BF679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Nội hàm “giả về nội dung” có khả năng trùng lặp một phần với thuật ngữ “hàng hóa không bảo đảm chất lượng hàng hóa” quy định tại Điều 608 Bộ luật Dân sự, “hàng hóa không phù hợp tiêu chuẩn công bố áp dụng, quy chuẩn kỹ thuật” trong Luật Chất lượng sản phẩm, hàng hóa (có thường được gọi là “hàng kém chất lượng”) do các thuật ngữ đều hướng tới chất lượng của hàng hóa. </w:t>
      </w:r>
    </w:p>
    <w:p w14:paraId="6DF5B5E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Tuy nhiên, về bản chất pháp lý, khái niệm “hàng giả” về nội dung hướng tới bản chất của hàng hóa được tạo ra bởi hành vi do lỗi cố ý tác động vào hàng hóa khiến hàng hóa có chất lượng, giá trị sử dụng không còn đúng với giá trị sử dụng, công dụng của hàng hóa, cố ý xâm phạm trực tiếp tới trật tự quản lý nhà nước và quyền lợi của người tiêu dùng, thể hiện tính gian dối, làm sai lệch bản chất, công dụng, giá trị sử dụng của hàng hoá. </w:t>
      </w:r>
    </w:p>
    <w:p w14:paraId="064FC1E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Trong khi đó, “hàng hóa không bảo đảm chất lượng hàng hóa” quy định tại Điều 608 Bộ luật Dân sự và “hàng hóa không phù hợp tiêu chuẩn công bố áp dụng, quy chuẩn kỹ thuật” trong Luật Chất lượng sản phẩm, hàng hóa không hoàn toàn xuất phát từ một hành vi cố ý mà có thể do bản chất thông thường của hàng hóa cũng có thể dẫn tới hàng hóa có chất lượng không còn phù hợp với tiêu chuẩn, quy chuẩn (như bay hơi, tiêu hao, lỗi vô ý trong quá trình sản xuất hoặc bảo quản...), không phải luôn hướng tới mục đích xâm phậm trật tự quản lý nhà nước hay quyền lợi của người tiêu dùng. </w:t>
      </w:r>
    </w:p>
    <w:p w14:paraId="3CCF495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Sự mâu thuẫn giữa “hàng giả” và “hàng kém chất lượng” không phải vấn đề mới xuất hiện mà ngay từ khi khái niệm “hàng giả” lần đầu tiên được quy định tại Nghị định số 140-HĐBT, Bộ Thương mại và Du lịch và Ủy ban Khoa học Nhà nước đã ban hành Thông tư liên bộ số 1254/TTLB trong đó có quy định về phân biệt giữa hàng giả và hàng </w:t>
      </w:r>
      <w:r w:rsidRPr="00ED5E38">
        <w:rPr>
          <w:noProof/>
          <w:color w:val="000000" w:themeColor="text1"/>
          <w:sz w:val="26"/>
          <w:szCs w:val="26"/>
          <w:lang w:val="vi-VN"/>
        </w:rPr>
        <w:lastRenderedPageBreak/>
        <w:t xml:space="preserve">kém chất lượng. Như đã phân tích tại mục I về bối cảnh xây dựng chính sách, quan điểm và định hướng phân biệt giữa “hàng giả” và “hàng kém chất lượng” qua từng giai đoạn ngày càng rõ ràng, quy định cụ thể tỷ lệ sai lệch và cùng chung một hướng quy định là “mức chất lượng tối thiểu”, hay “chất lượng kém đến một mức nhất định sẽ là giả”. </w:t>
      </w:r>
    </w:p>
    <w:p w14:paraId="773D307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Do đó, để giải quyết khả năng mâu thuẫn này, dự kiến sẽ giao Chính phủ quy định về tỷ lệ sai lệch về chất lượng để đảm bảo tính linh hoạt và phù hợp với thực tiễn phát sinh trên thực tế.</w:t>
      </w:r>
    </w:p>
    <w:p w14:paraId="01796FB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(3) Về sự cần thiết phải ban hành mới, sửa đổi, bổ sung, thay thế hoặc bãi bỏ văn bản quy phạm pháp luật</w:t>
      </w:r>
    </w:p>
    <w:p w14:paraId="2ABEBC2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Ban hành Nghị định quy định chi tiết về tỷ lệ/ mức độ sai lệch về chất lượng, các chỉ tiêu cốt lõi tạo nên công dụng, giá trị sử dụng của hàng hóa; quy định chuyển tiếp đối với vụ việc về hàng giả đang xử lý tại Nghị định số 98/2020/NĐ-CP.</w:t>
      </w:r>
    </w:p>
    <w:p w14:paraId="72442E3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Bãi bỏ khoản 7, khoản 8 Điều 3 Nghị định số 98/2020/NĐ-CP.</w:t>
      </w:r>
    </w:p>
    <w:p w14:paraId="3CAE768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(4) Về việc bảo đảm tính khả thi về mặt pháp lý:</w:t>
      </w:r>
    </w:p>
    <w:p w14:paraId="0C05AFE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ngắn hạn (sau khi Luật thông qua đến khi Luật có hiệu lực): Chính phủ cần ban hành ban hành Nghị định quy định chi tiết về tỷ lệ/ mức độ sai lệch về chất lượng và phương pháp xác định chung cho các loại hàng hóa.</w:t>
      </w:r>
    </w:p>
    <w:p w14:paraId="5139CD6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trung hạn và dài hạn:</w:t>
      </w:r>
    </w:p>
    <w:p w14:paraId="3189501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Xây dựng, hoàn thiện hệ thống tiêu chuẩn, quy chuẩn đối với các loại hàng hóa, đặc biệt là các loại hàng hóa có độ rủi ro từ trung bình đến rủi ro cao.</w:t>
      </w:r>
    </w:p>
    <w:p w14:paraId="7BD174B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Các bộ, ngành trong phạm vi quản lý nhà nước của mình quy định cụ thể tỷ lệ/mức độ sai lệch, các chỉ tiêu cốt lõi tạo nên công dụng, giá trị sử dụng của hàng hóa cụ thể đối với nhóm hoặc loại hàng hóa mà bộ, ngành quản lý.</w:t>
      </w:r>
    </w:p>
    <w:p w14:paraId="2D786B5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Về tính tương thích với các điều ước quốc tế có liên quan mà nước Cộng hòa xã hội chủ nghĩa Việt Nam là thành viên: </w:t>
      </w:r>
    </w:p>
    <w:p w14:paraId="7FBA21F2"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noProof/>
          <w:color w:val="000000" w:themeColor="text1"/>
          <w:sz w:val="26"/>
          <w:szCs w:val="26"/>
          <w:lang w:val="vi-VN"/>
        </w:rPr>
        <w:t>Việc quy định khái niệm “hàng giả” trong Luật Thương mại là một biện pháp quản lý thị trường trong nước, hướng tới chống gian lận trong thương mại và bảo vệ sức khoẻ của cộng đồng cũng như quyền và lợi ích hợp pháp của các doanh nghiệp kinh doanh hợp pháp, không hướng tới và không tạo ra các biện pháp bảo hộ, trở ngại hoặc rào cản kỹ thuật thương mại trái với cam kết quốc tế (Hiệp định về việc áp dụng các biện pháp vệ sinh an toàn thực phẩm và kiểm dịch động thực vật (Hiệp định SPS), Hiệp định về hàng rào kỹ thuật trong thương mại (Hiệp định TBT) của WTO) và phù hợp với quy định về ngoại lệ chung đối với các quốc gia trong việc thi hành hoặc áp dụng các biện pháp cần thiết để bảo vệ cuộc sống và sức khoẻ con người được quy định tại Điều XX</w:t>
      </w:r>
      <w:r w:rsidRPr="00ED5E38">
        <w:rPr>
          <w:rStyle w:val="FootnoteReference"/>
          <w:noProof/>
          <w:color w:val="000000" w:themeColor="text1"/>
          <w:sz w:val="26"/>
          <w:szCs w:val="26"/>
          <w:lang w:val="vi-VN"/>
        </w:rPr>
        <w:footnoteReference w:id="36"/>
      </w:r>
      <w:r w:rsidRPr="00ED5E38">
        <w:rPr>
          <w:noProof/>
          <w:color w:val="000000" w:themeColor="text1"/>
          <w:sz w:val="26"/>
          <w:szCs w:val="26"/>
          <w:lang w:val="vi-VN"/>
        </w:rPr>
        <w:t xml:space="preserve"> của Hiệp định chung về thuế quan và thương mại (Hiệp định GATT), đặc biệt </w:t>
      </w:r>
      <w:r w:rsidRPr="00ED5E38">
        <w:rPr>
          <w:noProof/>
          <w:color w:val="000000" w:themeColor="text1"/>
          <w:sz w:val="26"/>
          <w:szCs w:val="26"/>
          <w:lang w:val="vi-VN"/>
        </w:rPr>
        <w:lastRenderedPageBreak/>
        <w:t>nhằm thực thi quyền được hưởng mức sống khả quan về sức khoẻ được ghi nhận tại Tuyên ngôn quốc tế nhân quyền năm 1948</w:t>
      </w:r>
      <w:r w:rsidRPr="00ED5E38">
        <w:rPr>
          <w:rStyle w:val="FootnoteReference"/>
          <w:noProof/>
          <w:color w:val="000000" w:themeColor="text1"/>
          <w:sz w:val="26"/>
          <w:szCs w:val="26"/>
          <w:lang w:val="vi-VN"/>
        </w:rPr>
        <w:footnoteReference w:id="37"/>
      </w:r>
      <w:r w:rsidRPr="00ED5E38">
        <w:rPr>
          <w:noProof/>
          <w:color w:val="000000" w:themeColor="text1"/>
          <w:sz w:val="26"/>
          <w:szCs w:val="26"/>
          <w:lang w:val="vi-VN"/>
        </w:rPr>
        <w:t>.</w:t>
      </w:r>
    </w:p>
    <w:p w14:paraId="22B5361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Giải pháp 1 về cơ bản không mâu thuẫn với các cam kết quốc tế phổ biến, bởi các điều ước như các điều ước quốc tế mà Việt Nam là thành viên trong lĩnh vực sở hữu trí tuệ và thương mại như Hiệp định liên quan đến các khía cạnh về thương mại và quyền sở hữu trí tuệ (Hiệp định TRIPS) của WTO các Hiệp định thương mại tự do (FTA) như Hiệp định Đối tác Toàn diện và Tiến bộ xuyên Thái Bình Dương (Hiệp định CPTPP), Hiệp định thương mại tự do Việt Nam – EU (Hiệp định EVFTA) và Hiệp định Đối tác Kinh tế Toàn diện Khu vực (Hiệp định RCEP) yêu cầu các quốc gia có cơ chế hiệu quả để xử lý hàng hóa giả mạo nhãn hiệu theo pháp luật về sở hữu trí tuệ và có biện pháp thực thi.</w:t>
      </w:r>
    </w:p>
    <w:p w14:paraId="1CE9609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Cụ thể, Hiệp định TRIPS quy định về “counterfeit trademark goods” (hàng giả mạo nhãn hiệu) và “pirated copyright goods” (hàng hoá vi phạm bản quyền) phục vụ cho việc áp dụng các biện pháp kiểm soát biên giới, đồng thời yêu cầu các quốc gia thành viên phải áp dụng chế tài hình sự tối thiểu đối với hành vi cố ý làm giả nhãn hiệu hoặc sao chép lậu quyền tác giả ở quy mô thương mại</w:t>
      </w:r>
      <w:r w:rsidRPr="00ED5E38">
        <w:rPr>
          <w:rStyle w:val="FootnoteReference"/>
          <w:rFonts w:eastAsia="DengXian Light"/>
          <w:noProof/>
          <w:color w:val="000000" w:themeColor="text1"/>
          <w:sz w:val="26"/>
          <w:szCs w:val="26"/>
          <w:lang w:val="vi-VN"/>
        </w:rPr>
        <w:footnoteReference w:id="38"/>
      </w:r>
      <w:r w:rsidRPr="00ED5E38">
        <w:rPr>
          <w:noProof/>
          <w:color w:val="000000" w:themeColor="text1"/>
          <w:sz w:val="26"/>
          <w:szCs w:val="26"/>
          <w:lang w:val="vi-VN"/>
        </w:rPr>
        <w:t>.  Trên cơ sở kế thừa và mở rộng các chuẩn mực này, Hiệp định CPTPP tiếp tục đặt ra nghĩa vụ hình sự tối thiểu đối với hành vi cố ý làm giả nhãn hiệu và xâm phạm quyền tác giả, đồng thời có các quy định liên quan đến việc sử dụng nhãn, bao bì gắn nhãn hiệu giả trong hoạt động thương mại</w:t>
      </w:r>
      <w:r w:rsidRPr="00ED5E38">
        <w:rPr>
          <w:rStyle w:val="FootnoteReference"/>
          <w:rFonts w:eastAsia="DengXian Light"/>
          <w:noProof/>
          <w:color w:val="000000" w:themeColor="text1"/>
          <w:sz w:val="26"/>
          <w:szCs w:val="26"/>
          <w:lang w:val="vi-VN"/>
        </w:rPr>
        <w:footnoteReference w:id="39"/>
      </w:r>
      <w:r w:rsidRPr="00ED5E38">
        <w:rPr>
          <w:noProof/>
          <w:color w:val="000000" w:themeColor="text1"/>
          <w:sz w:val="26"/>
          <w:szCs w:val="26"/>
          <w:lang w:val="vi-VN"/>
        </w:rPr>
        <w:t>. Bên cạnh đó, trong Chương về sở hữu trí tuệ tại Hiệp định EVFTA, định nghĩa hàng giả mạo về sở hữu trí tuệ theo nghĩa rộng trong khuôn khổ thực thi quyền, bao gồm không chỉ hàng giả mạo nhãn hiệu mà cả hàng giả mạo chỉ dẫn địa lý</w:t>
      </w:r>
      <w:r w:rsidRPr="00ED5E38">
        <w:rPr>
          <w:rStyle w:val="FootnoteReference"/>
          <w:rFonts w:eastAsia="DengXian Light"/>
          <w:noProof/>
          <w:color w:val="000000" w:themeColor="text1"/>
          <w:sz w:val="26"/>
          <w:szCs w:val="26"/>
          <w:lang w:val="vi-VN"/>
        </w:rPr>
        <w:footnoteReference w:id="40"/>
      </w:r>
      <w:r w:rsidRPr="00ED5E38">
        <w:rPr>
          <w:noProof/>
          <w:color w:val="000000" w:themeColor="text1"/>
          <w:sz w:val="26"/>
          <w:szCs w:val="26"/>
          <w:lang w:val="vi-VN"/>
        </w:rPr>
        <w:t>, trong khi Hiệp định RCEP cũng duy trì cách tiếp cận tương tự khi quy định các biện pháp thực thi, đặc biệt là tại biên giới, đối với hàng giả mạo nhãn hiệu và hàng hóa vi phạm bản quyền</w:t>
      </w:r>
      <w:r w:rsidRPr="00ED5E38">
        <w:rPr>
          <w:rStyle w:val="FootnoteReference"/>
          <w:rFonts w:eastAsia="DengXian Light"/>
          <w:noProof/>
          <w:color w:val="000000" w:themeColor="text1"/>
          <w:sz w:val="26"/>
          <w:szCs w:val="26"/>
          <w:lang w:val="vi-VN"/>
        </w:rPr>
        <w:footnoteReference w:id="41"/>
      </w:r>
      <w:r w:rsidRPr="00ED5E38">
        <w:rPr>
          <w:noProof/>
          <w:color w:val="000000" w:themeColor="text1"/>
          <w:sz w:val="26"/>
          <w:szCs w:val="26"/>
          <w:lang w:val="vi-VN"/>
        </w:rPr>
        <w:t xml:space="preserve">. </w:t>
      </w:r>
    </w:p>
    <w:p w14:paraId="402B058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Tuy nhiên, các Hiệp định nêu trên đều không cấm quốc gia xây dựng thêm khái niệm “hàng giả” rộng hơn trong quản lý thương mại nhằm bảo vệ người tiêu dùng và trật tự thị trường. Do đó, Giải pháp 1 không có nguy cơ dẫn đến xung đột với điều quốc tế có liên quan mà nước Cộng hòa xã hội chủ nghĩa Việt Nam là thành viên và không dẫn đến khả năng phát sinh tranh chấp quốc tế, tranh chấp về thương mại.</w:t>
      </w:r>
    </w:p>
    <w:bookmarkEnd w:id="12"/>
    <w:p w14:paraId="4D7EE361" w14:textId="77777777" w:rsidR="00F76D23" w:rsidRPr="00ED5E38" w:rsidRDefault="00F76D23" w:rsidP="00FD5E31">
      <w:pPr>
        <w:tabs>
          <w:tab w:val="right" w:leader="dot" w:pos="7920"/>
        </w:tabs>
        <w:spacing w:before="120" w:after="120" w:line="340" w:lineRule="exact"/>
        <w:ind w:firstLine="709"/>
        <w:jc w:val="both"/>
        <w:rPr>
          <w:b/>
          <w:i/>
          <w:iCs/>
          <w:noProof/>
          <w:color w:val="000000" w:themeColor="text1"/>
          <w:sz w:val="26"/>
          <w:szCs w:val="26"/>
          <w:lang w:val="vi-VN"/>
        </w:rPr>
      </w:pPr>
      <w:r w:rsidRPr="00ED5E38">
        <w:rPr>
          <w:b/>
          <w:i/>
          <w:iCs/>
          <w:noProof/>
          <w:color w:val="000000" w:themeColor="text1"/>
          <w:sz w:val="26"/>
          <w:szCs w:val="26"/>
          <w:lang w:val="vi-VN"/>
        </w:rPr>
        <w:t>- Tác động về kinh tế - xã hội:</w:t>
      </w:r>
    </w:p>
    <w:p w14:paraId="17E5DEF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nhà nước: </w:t>
      </w:r>
    </w:p>
    <w:p w14:paraId="68A6DA8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641A6D7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Việc quy định khái niệm “hàng giả” ở cấp Luật giúp củng cố cơ sở pháp lý, hiệu lực của khái niệm “hàng giả” từ đó áp dụng thống nhất, không chỉ giới hạn trong </w:t>
      </w:r>
      <w:r w:rsidRPr="00ED5E38">
        <w:rPr>
          <w:noProof/>
          <w:color w:val="000000" w:themeColor="text1"/>
          <w:sz w:val="26"/>
          <w:szCs w:val="26"/>
          <w:lang w:val="vi-VN"/>
        </w:rPr>
        <w:lastRenderedPageBreak/>
        <w:t>xử lý các hành vi vi phạm mà còn tạo cơ sở thúc đẩy biện pháp quản lý, khoa học và công nghệ, đổi mới sáng tạo trong phát hiện “hàng giả”, từ đó nâng cao hiệu quả của công cuộc đấu tranh, phòng, chống sản xuất, buôn bán hàng giả, bảo vệ quyền, lợi ích hợp pháp, chính đáng của Nhân dân, doanh nghiệp, bảo vệ an ninh, an toàn sức khỏe cho Nhân dân, góp phần phục vụ đất nước phát triển nhanh, bền vững cũng như khẳng định cam kết của Nhà nước ta trong công cuộc chống hàng giả và bảo vệ người tiêu dùng, bảo vệ những doanh nghiệp kinh doanh chân chính.</w:t>
      </w:r>
    </w:p>
    <w:p w14:paraId="64E67B2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Cải thiện môi trường đầu tư, kinh doanh, tạo môi trường kinh doanh trong sạch, lành mạnh</w:t>
      </w:r>
    </w:p>
    <w:p w14:paraId="7910140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Giải pháp 1 tăng tính ổn định và dự liệu của hệ thống pháp luật về hàng giả do đã ghi nhận bao trùm các loại hàng giả, tạo cơ sở pháp lý rõ ràng cho bảo vệ người tiêu dùng và doanh nghiệp chân chính, qua đó cải thiện chất lượng môi trường kinh doanh do giảm rủi ro cạnh tranh không lành mạnh. </w:t>
      </w:r>
    </w:p>
    <w:p w14:paraId="78DC867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Giảm chi phí quản lý nhà nước</w:t>
      </w:r>
    </w:p>
    <w:p w14:paraId="3F1E5E5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Giảm rủi ro về bỏ lọt đối với việc xử lý các hành vi giả về nhãn, bao bì hàng hóa; tem, nhãn, bao bì hàng hóa giả: Giả nhãn, bao bì, tem của hàng hóa là phương thức làm giả phổ biến do chi phí thực hiện thấp và khả năng gây nhầm lẫn cao. Do đó, nếu khái niệm “hàng giả” bao trùm cả nhóm hành vi này ở cấp luật, cơ quan thực thi có căn cứ định danh rõ ràng hơn, giảm nguy cơ coi đây chỉ là vi phạm có mức độ nhẹ, từ đó giảm rủi ro bỏ lọt hoặc xử lý không tương xứng</w:t>
      </w:r>
    </w:p>
    <w:p w14:paraId="0B1504F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Giảm thời gian, chi phí quản lý do nâng cấp khái niệm hàng giả lên Luật thay vì để ở Nghị định 98/2020/NĐ-CP giúp giảm thời gian tranh luận, băn khoăn, xin ý kiến, đề nghị phối hợp trong xác định hàng giả trong xử lý hình sự.</w:t>
      </w:r>
    </w:p>
    <w:p w14:paraId="406D6D9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Giảm thời gian, tiết kiệm chi phí trong xử lý vụ việc về hàng giả: Việc quy định hàng giả theo hướng bao trùm, gồm cả giả về hình thức, chất lượng lẫn tem, nhãn, bao bì hàng hóa giúp đáp ứng yêu cầu quản lý theo hướng phù hợp với thực tiễn vi phạm và mở rộng khả năng xử lý các phương thức, thủ đoạn mới. Việc quy định bao trùm như Giải pháp 1 sẽ giúp cơ quan chức năng dễ nhận diện hành vi ban đầu, tiết kiệm được thời gian phát hiện, xử lý về hàng giả và tăng hiệu quả ngăn chặn hàng giả sớm, giảm số lượng hàng giả lan rộng trên thị trường đến tay người tiêu dùng. Trong đó, ước tính chi phí tiết kiệm được do nhận diện sớm hành vi, tiết kiệm thời gian xử lý vụ việc tối thiểu là từ 3,92 đến 33,6 tỷ đồng/năm</w:t>
      </w:r>
      <w:r w:rsidRPr="00ED5E38">
        <w:rPr>
          <w:rStyle w:val="FootnoteReference"/>
          <w:rFonts w:eastAsia="DengXian Light"/>
          <w:noProof/>
          <w:color w:val="000000" w:themeColor="text1"/>
          <w:sz w:val="26"/>
          <w:szCs w:val="26"/>
          <w:lang w:val="vi-VN"/>
        </w:rPr>
        <w:footnoteReference w:id="42"/>
      </w:r>
      <w:r w:rsidRPr="00ED5E38">
        <w:rPr>
          <w:noProof/>
          <w:color w:val="000000" w:themeColor="text1"/>
          <w:sz w:val="26"/>
          <w:szCs w:val="26"/>
          <w:lang w:val="vi-VN"/>
        </w:rPr>
        <w:t xml:space="preserve">. </w:t>
      </w:r>
    </w:p>
    <w:p w14:paraId="4113557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(iii) Tăng nguồn thu ngân sách do xử lý các vụ việc về hàng giả (tăng từ xử lý, xử phạt và tăng từ thu thuế do các hành vi vi phạm được xử lý triệt để)</w:t>
      </w:r>
    </w:p>
    <w:p w14:paraId="1DC17A0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 xml:space="preserve">Việc khái niệm được quy định ở cấp luật làm tăng tính minh bạch và thống nhất, từ đó có thể làm tăng tỷ lệ vụ việc được xử lý dứt điểm, hạn chế kéo dài hoặc phải điều chỉnh căn cứ. Bên cạnh đó, với khái niệm “hàng giả” rộng, các hành vi gian lận thương mại được ngăn chặn hiệu quả hơn, thị phần có xu hướng dịch chuyển từ khu vực phi chính thức sang khu vực kinh doanh hợp pháp, góp phần tăng nguồn thu ngân sách từ thu thuế. </w:t>
      </w:r>
    </w:p>
    <w:p w14:paraId="2272942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(iv)</w:t>
      </w:r>
      <w:r w:rsidRPr="00ED5E38">
        <w:rPr>
          <w:i/>
          <w:iCs/>
          <w:noProof/>
          <w:color w:val="000000" w:themeColor="text1"/>
          <w:sz w:val="26"/>
          <w:szCs w:val="26"/>
          <w:lang w:val="vi-VN" w:eastAsia="zh-CN"/>
        </w:rPr>
        <w:t xml:space="preserve"> </w:t>
      </w:r>
      <w:r w:rsidRPr="00ED5E38">
        <w:rPr>
          <w:noProof/>
          <w:color w:val="000000" w:themeColor="text1"/>
          <w:sz w:val="26"/>
          <w:szCs w:val="26"/>
          <w:lang w:val="vi-VN"/>
        </w:rPr>
        <w:t>Nâng cao uy tín quốc gia trong đấu tranh chống hàng giả và giảm nguy cơ Việt Nam trở thành điểm trung chuyển hàng giả: Giải pháp 1 góp phần cũng cố quan điểm và cam kết của Việt Nam trong việc đấu tranh chống hàng giả, đặc biệt là kiểm soát hàng giả mạo nhãn, bao bì hàng hóa hoặc tem, nhãn, bao bì hàng hóa giả - những nhóm hành vi mà các quốc gia thường quan ngại về hàng giả. Bên cạnh đó, việc kiểm soát tốt hàng giả, đặc biệt là giả về hình thức và đặc biệt là hàng hóa có nhãn, bao bì giả mạo xuất xứ góp phần giảm nguy cơ phát sinh các biện pháp tăng cường kiểm tra, cảnh báo rủi ro từ phía đối tác đối với hàng hoá xuất khẩu của Việt Nam hoặc hàng hóa quá cảnh qua Việt Nam, qua đó giảm chi phí tuân thủ và chi phí chậm trễ trong lưu thông hàng hóa trong chuỗi cung ứng.</w:t>
      </w:r>
    </w:p>
    <w:p w14:paraId="20A9F4C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331F7B7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Tăng chi phí về ban hành văn bản quy phạm pháp luật do cần xây dựng và ban hành Nghị định quy định chi tiết và hoàn thiện hệ thống tiêu chuẩn/ quy chuẩn để làm cơ sở xác định hàng giả theo khái niệm quy định.</w:t>
      </w:r>
    </w:p>
    <w:p w14:paraId="59D1290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chi phí về đào tạo, tập huấn trong áp dụng khái niệm “hàng giả” nhưng không đáng kể do đang được áp dụng tương đối ổn định theo Nghị định số 98/2020/NĐ-CP, do đó ít phát sinh yêu cầu đào tạo mới về nội dung nghiệp vụ cốt lõi mà chủ yếu là cập nhật văn bản.</w:t>
      </w:r>
    </w:p>
    <w:p w14:paraId="4820ABDE"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doanh nghiệp: </w:t>
      </w:r>
    </w:p>
    <w:p w14:paraId="286E3CD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281FD73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Việc quy định khái niệm “hàng giả” trong Luật như Giải pháp 1 góp phần bảo đảm ổn định thị trường, từ đó bảo vệ quyền và lợi ích hợp pháp của doanh nghiệp trong sản xuất, kinh doanh, đặc biệt là những doanh nghiệp chân chính, có hàng hóa bị làm giả, tạo môi trường cạnh tranh bình đẳng, đảm bảo uy tín, chất lượng và sự phát triển của các doanh nghiệp trong nền kinh tế. </w:t>
      </w:r>
    </w:p>
    <w:p w14:paraId="6891640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Tạo động lực cho doanh nghiệp mở rộng thị trường do giảm khả năng thiệt hại về doanh thu, uy tín vì hàng giả. Với một khái niệm “hàng giả” rộng và chế tài mạnh, doanh nghiệp làm ăn chân chính có thể hưởng lợi từ việc giảm cạnh tranh không lành mạnh và tăng hiệu quả bảo vệ thương hiệu dù theo pháp luật sở hữu trí tuệ hay pháp luật thương mại.</w:t>
      </w:r>
    </w:p>
    <w:p w14:paraId="2CB6453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Có thể tăng chi phí tuân thủ do doanh nghiệp cần chuẩn quá quy trình quản lý chất lượng sản phẩm, hàng hóa, chi phí hoàn thiện nhãn, bao bì để tránh bị coi là hàng giả. Tuy nhiên, chi phí này không tăng trực tiếp do việc quy định khái niệm </w:t>
      </w:r>
      <w:r w:rsidRPr="00ED5E38">
        <w:rPr>
          <w:noProof/>
          <w:color w:val="000000" w:themeColor="text1"/>
          <w:sz w:val="26"/>
          <w:szCs w:val="26"/>
          <w:lang w:val="vi-VN"/>
        </w:rPr>
        <w:lastRenderedPageBreak/>
        <w:t>“hàng giả” trong Luật theo hướng Giải pháp 1 mà đây vẫn là các chi phí mà doanh nghiệp cần thiết phải chi trong hoạt động sản xuất, kinh doanh của mình.</w:t>
      </w:r>
    </w:p>
    <w:p w14:paraId="678A3A6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tổ chức, cá nhân: </w:t>
      </w:r>
    </w:p>
    <w:p w14:paraId="3CF0539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6AC2D80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Việc quy định khái niệm “hàng giả” trong Luật theo hướng của Giải pháp 1 cũng tạo cơ sở cho công cuộc đấu tranh, phòng, chống sản xuất, buôn bán hàng giảm góp phần bảo đảm quyền được bảo vệ về sức khỏe, tính mạng, quyền và lợi ích hợp pháp của người dân, những người tiêu dùng. </w:t>
      </w:r>
    </w:p>
    <w:p w14:paraId="4FE7B75A"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(ii) Việc quy định khái niệm “hàng giả” bao trùm rộng, cả hàng giả về hình thức sẽ giúp người tiêu dùng có khả năng dẫn diện dễ hơn, giảm chi phí đổi trả, khiếu nại do mua phải hàng giả, đặc biệt là mua bán hàng hóa qua các sàn thương mại điện tử. </w:t>
      </w:r>
    </w:p>
    <w:p w14:paraId="0771D3D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34D9626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Giá hàng hóa có thể tăng do doanh nghiệp tăng chi phí tuân thủ, tuy nhiên, như đã phân tích ở trên thì chi phí tuân thủ của doanh nghiệp tăng không phải tác động trực tiếp từ việc quy định khái niệm “hàng giả” trong Luật theo hướng Giải pháp 1.</w:t>
      </w:r>
    </w:p>
    <w:p w14:paraId="12A2090E"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Việc quy định khái niệm “hàng giả” bao trùm theo hướng Giải pháp 1 sẽ có ảnh hưởng tiêu cực về truyền thông do số lượng vụ việc về hàng giả sẽ không giảm mà thậm chí còn tăng, dễ gây hoang mang cho người tiêu dùng nếu không xác định được rõ đó là giả về chất lượng hay giả về hình thức và dễ dẫn tới xu hướng phòng vệ, giảm tiêu dùng đối với hàng hóa trong nước. Tuy nhiên, ảnh hưởng tiêu cực này không xuất phát trực tiếp từ việc quy định khái niệm “hàng giả” bao trùm theo hướng Giải pháp 1 mà do cách thống kê, công bố số liệu và truyền thông trong công tác đấu tranh phòng, chống hàng giả.</w:t>
      </w:r>
    </w:p>
    <w:p w14:paraId="7AA3C71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b/>
          <w:i/>
          <w:iCs/>
          <w:noProof/>
          <w:color w:val="000000" w:themeColor="text1"/>
          <w:sz w:val="26"/>
          <w:szCs w:val="26"/>
          <w:lang w:val="vi-VN"/>
        </w:rPr>
        <w:t>- Tác động về giới (nếu có):</w:t>
      </w:r>
      <w:r w:rsidRPr="00ED5E38">
        <w:rPr>
          <w:noProof/>
          <w:color w:val="000000" w:themeColor="text1"/>
          <w:sz w:val="26"/>
          <w:szCs w:val="26"/>
          <w:lang w:val="vi-VN"/>
        </w:rPr>
        <w:t xml:space="preserve"> Chính sách không tạo ra sự phân biệt đối xử về giới, không đặt ra quy định riêng đối với nam hoặc nữ, tác động của chính sách là trung tính về giới.</w:t>
      </w:r>
    </w:p>
    <w:p w14:paraId="7818CA6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b/>
          <w:i/>
          <w:iCs/>
          <w:noProof/>
          <w:color w:val="000000" w:themeColor="text1"/>
          <w:sz w:val="26"/>
          <w:szCs w:val="26"/>
          <w:lang w:val="vi-VN"/>
        </w:rPr>
        <w:t>- Tác động của thủ tục hành chính (nếu có):</w:t>
      </w:r>
      <w:r w:rsidRPr="00ED5E38">
        <w:rPr>
          <w:noProof/>
          <w:color w:val="000000" w:themeColor="text1"/>
          <w:sz w:val="26"/>
          <w:szCs w:val="26"/>
          <w:lang w:val="vi-VN"/>
        </w:rPr>
        <w:t xml:space="preserve"> Chính sách không tạo ra thủ tục hành chính.</w:t>
      </w:r>
    </w:p>
    <w:p w14:paraId="6A18BC62" w14:textId="0143F658" w:rsidR="00F76D23" w:rsidRPr="00ED5E38" w:rsidRDefault="00F76D23" w:rsidP="0027142B">
      <w:pPr>
        <w:pStyle w:val="Heading2"/>
      </w:pPr>
      <w:r w:rsidRPr="00ED5E38">
        <w:t xml:space="preserve">b) Giải pháp 2: </w:t>
      </w:r>
      <w:r w:rsidR="001D3233" w:rsidRPr="00ED5E38">
        <w:t>Quy định khái niệm “hàng giả” trong Luật Thương mại theo hướng phân tách khái niệm “hàng giả” về nội dung (giả về công dụng, giá trị sử dụng, chất lượng) theo Luật Thương mại, “hàng giả” về hình thức theo Luật Sở hữu trí tuệ và các pháp luật khác có liên quan (như nhãn hàng hoá, nguồn gốc, xuất xứ)</w:t>
      </w:r>
    </w:p>
    <w:p w14:paraId="51FFF103"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Trong đó, dự kiến quy định khái niệm “hàng giả” trong Luật Thương mại theo hướng: Hàng giả là hàng hóa bị làm sai lệch so với bản chất, tên gọi, giá trị sử dụng, công dụng hoặc chất lượng dự định của hàng hóa.  </w:t>
      </w:r>
    </w:p>
    <w:p w14:paraId="62CDF221" w14:textId="77777777" w:rsidR="00F76D23" w:rsidRPr="00ED5E38" w:rsidRDefault="00F76D23" w:rsidP="00FD5E31">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Giao Chính phủ quy định chi tiết các dấu hiệu của hàng hóa được xác định là “hàng giả” cụ thể, các dấu hiệu về tỷ lệ sai lệch (tỷ lệ cụ thể, mức độ cao hơn hoặc thấp </w:t>
      </w:r>
      <w:r w:rsidRPr="00ED5E38">
        <w:rPr>
          <w:i/>
          <w:iCs/>
          <w:noProof/>
          <w:color w:val="000000" w:themeColor="text1"/>
          <w:sz w:val="26"/>
          <w:szCs w:val="26"/>
          <w:lang w:val="vi-VN"/>
        </w:rPr>
        <w:lastRenderedPageBreak/>
        <w:t>hơn), yếu tố “bản chất, giá trị sử dụng, công dụng hoặc chất lượng dự định” để đảm bảo tính linh hoạt và phù hợp với thực tiễn phát sinh trên thực tế.</w:t>
      </w:r>
    </w:p>
    <w:p w14:paraId="11CEC75D" w14:textId="77777777" w:rsidR="00F76D23" w:rsidRPr="00ED5E38" w:rsidRDefault="00F76D23" w:rsidP="00FD5E31">
      <w:pPr>
        <w:tabs>
          <w:tab w:val="right" w:leader="dot" w:pos="7920"/>
        </w:tabs>
        <w:spacing w:before="120" w:after="120" w:line="340" w:lineRule="exact"/>
        <w:ind w:firstLine="709"/>
        <w:jc w:val="both"/>
        <w:rPr>
          <w:b/>
          <w:bCs/>
          <w:i/>
          <w:iCs/>
          <w:noProof/>
          <w:color w:val="000000" w:themeColor="text1"/>
          <w:sz w:val="26"/>
          <w:szCs w:val="26"/>
          <w:lang w:val="vi-VN"/>
        </w:rPr>
      </w:pPr>
      <w:r w:rsidRPr="00ED5E38">
        <w:rPr>
          <w:b/>
          <w:bCs/>
          <w:i/>
          <w:iCs/>
          <w:noProof/>
          <w:color w:val="000000" w:themeColor="text1"/>
          <w:sz w:val="26"/>
          <w:szCs w:val="26"/>
          <w:lang w:val="vi-VN"/>
        </w:rPr>
        <w:t xml:space="preserve">- Tác động đối với hệ thống pháp luật: </w:t>
      </w:r>
    </w:p>
    <w:p w14:paraId="44C2F96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hiến:</w:t>
      </w:r>
    </w:p>
    <w:p w14:paraId="06E79EB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ab/>
        <w:t xml:space="preserve">Việc quy định khái niệm “hàng giả” trong Luật Thương mại nhằm bảo đảm quyền con người, quyền công dân quy định tại khoản 1 Điều 20 Hiến pháp năm 2013: </w:t>
      </w:r>
      <w:r w:rsidRPr="00ED5E38">
        <w:rPr>
          <w:i/>
          <w:iCs/>
          <w:noProof/>
          <w:color w:val="000000" w:themeColor="text1"/>
          <w:sz w:val="26"/>
          <w:szCs w:val="26"/>
          <w:lang w:val="vi-VN"/>
        </w:rPr>
        <w:t xml:space="preserve">“Mọi người có quyền bất khả xâm phạm về thân thể, </w:t>
      </w:r>
      <w:r w:rsidRPr="00ED5E38">
        <w:rPr>
          <w:b/>
          <w:bCs/>
          <w:i/>
          <w:iCs/>
          <w:noProof/>
          <w:color w:val="000000" w:themeColor="text1"/>
          <w:sz w:val="26"/>
          <w:szCs w:val="26"/>
          <w:lang w:val="vi-VN"/>
        </w:rPr>
        <w:t>được pháp luật bảo hộ về sức khỏe</w:t>
      </w:r>
      <w:r w:rsidRPr="00ED5E38">
        <w:rPr>
          <w:i/>
          <w:iCs/>
          <w:noProof/>
          <w:color w:val="000000" w:themeColor="text1"/>
          <w:sz w:val="26"/>
          <w:szCs w:val="26"/>
          <w:lang w:val="vi-VN"/>
        </w:rPr>
        <w:t>, danh dự và nhân phẩm</w:t>
      </w:r>
      <w:r w:rsidRPr="00ED5E38">
        <w:rPr>
          <w:b/>
          <w:bCs/>
          <w:i/>
          <w:iCs/>
          <w:noProof/>
          <w:color w:val="000000" w:themeColor="text1"/>
          <w:sz w:val="26"/>
          <w:szCs w:val="26"/>
          <w:lang w:val="vi-VN"/>
        </w:rPr>
        <w:t>; không bị tra tấn, bạo lực, truy bức, nhục hình hay bất kỳ hình thức đối xử nào khác xâm phạm thân thể, sức khỏe</w:t>
      </w:r>
      <w:r w:rsidRPr="00ED5E38">
        <w:rPr>
          <w:i/>
          <w:iCs/>
          <w:noProof/>
          <w:color w:val="000000" w:themeColor="text1"/>
          <w:sz w:val="26"/>
          <w:szCs w:val="26"/>
          <w:lang w:val="vi-VN"/>
        </w:rPr>
        <w:t>, xúc phạm danh dự, nhân phẩm”</w:t>
      </w:r>
      <w:r w:rsidRPr="00ED5E38">
        <w:rPr>
          <w:noProof/>
          <w:color w:val="000000" w:themeColor="text1"/>
          <w:sz w:val="26"/>
          <w:szCs w:val="26"/>
          <w:lang w:val="vi-VN"/>
        </w:rPr>
        <w:t xml:space="preserve"> và khoản 2 Điều 38 Hiến pháp năm 2013: </w:t>
      </w:r>
      <w:r w:rsidRPr="00ED5E38">
        <w:rPr>
          <w:i/>
          <w:iCs/>
          <w:noProof/>
          <w:color w:val="000000" w:themeColor="text1"/>
          <w:sz w:val="26"/>
          <w:szCs w:val="26"/>
          <w:lang w:val="vi-VN"/>
        </w:rPr>
        <w:t>“Nghiêm cấm các hành vi đe dọa cuộc sống, sức khỏe của người khác và cộng đồng.”</w:t>
      </w:r>
      <w:r w:rsidRPr="00ED5E38">
        <w:rPr>
          <w:noProof/>
          <w:color w:val="000000" w:themeColor="text1"/>
          <w:sz w:val="26"/>
          <w:szCs w:val="26"/>
          <w:lang w:val="vi-VN"/>
        </w:rPr>
        <w:t xml:space="preserve"> Theo đó, việc quy định khái niệm “hàng giả” trong Luật Thương mại tạo cơ sở pháp lý mạnh mẽ trong việc đấu tranh, phòng, chống các hành vi sản xuất, buôn bán những hàng hóa được xác định là “hàng giả”, qua đó bảo vệ sức khỏe của cộng đồng.  </w:t>
      </w:r>
    </w:p>
    <w:p w14:paraId="7EC1B82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Đồng thời, việc quy định các trường hợp được xác định là “hàng giả” trong Luật Thương mại cũng tạo môi trường kinh doanh lành mạnh, bảo đảm công bằng, đảm bảo mục tiêu phát triển kinh tế bền vững theo quy định tại khoản 3 Điều 51 Hiến pháp năm 2013: </w:t>
      </w:r>
      <w:r w:rsidRPr="00ED5E38">
        <w:rPr>
          <w:i/>
          <w:iCs/>
          <w:noProof/>
          <w:color w:val="000000" w:themeColor="text1"/>
          <w:sz w:val="26"/>
          <w:szCs w:val="26"/>
          <w:lang w:val="vi-VN"/>
        </w:rPr>
        <w:t>“Nhà nước khuyến khích, tạo điều kiện để doanh nhân, doanh nghiệp và cá nhân, tổ chức khác đầu tư, sản xuất, kinh doanh; phát triển bền vững các ngành kinh tế, góp phần xây dựng đất nước.”</w:t>
      </w:r>
      <w:r w:rsidRPr="00ED5E38">
        <w:rPr>
          <w:noProof/>
          <w:color w:val="000000" w:themeColor="text1"/>
          <w:sz w:val="26"/>
          <w:szCs w:val="26"/>
          <w:lang w:val="vi-VN"/>
        </w:rPr>
        <w:t xml:space="preserve"> và Điều 52 Hiến pháp năm 2013: </w:t>
      </w:r>
      <w:r w:rsidRPr="00ED5E38">
        <w:rPr>
          <w:i/>
          <w:iCs/>
          <w:noProof/>
          <w:color w:val="000000" w:themeColor="text1"/>
          <w:sz w:val="26"/>
          <w:szCs w:val="26"/>
          <w:lang w:val="vi-VN"/>
        </w:rPr>
        <w:t>“Nhà nước xây dựng và hoàn thiện thể chế kinh tế, điều tiết nền kinh tế trên cơ sở tôn trọng các quy luật thị trường”</w:t>
      </w:r>
      <w:r w:rsidRPr="00ED5E38">
        <w:rPr>
          <w:noProof/>
          <w:color w:val="000000" w:themeColor="text1"/>
          <w:sz w:val="26"/>
          <w:szCs w:val="26"/>
          <w:lang w:val="vi-VN"/>
        </w:rPr>
        <w:t>.</w:t>
      </w:r>
    </w:p>
    <w:p w14:paraId="68C3E91E"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Việc quy định các trường hợp được xác định là “hàng giả”  trong Luật Thương mại cũng có liên quan trực tiếp quyền tự do kinh doanh được quy định tại Điều 33 Hiến pháp năm 2013: </w:t>
      </w:r>
      <w:r w:rsidRPr="00ED5E38">
        <w:rPr>
          <w:i/>
          <w:iCs/>
          <w:noProof/>
          <w:color w:val="000000" w:themeColor="text1"/>
          <w:sz w:val="26"/>
          <w:szCs w:val="26"/>
          <w:lang w:val="vi-VN"/>
        </w:rPr>
        <w:t>“Mọi người có quyền tự do kinh doanh trong những ngành nghề mà pháp luật không cấm”</w:t>
      </w:r>
      <w:r w:rsidRPr="00ED5E38">
        <w:rPr>
          <w:noProof/>
          <w:color w:val="000000" w:themeColor="text1"/>
          <w:sz w:val="26"/>
          <w:szCs w:val="26"/>
          <w:lang w:val="vi-VN"/>
        </w:rPr>
        <w:t xml:space="preserve"> do quy định khái niệm “hàng giả” sẽ những giới hạn nhất định đối với tổ chức, cá nhân khi thực hiện kinh doanh của mình. Tuy nhiên, </w:t>
      </w:r>
      <w:bookmarkStart w:id="21" w:name="khoan_2_14"/>
      <w:r w:rsidRPr="00ED5E38">
        <w:rPr>
          <w:noProof/>
          <w:color w:val="000000" w:themeColor="text1"/>
          <w:sz w:val="26"/>
          <w:szCs w:val="26"/>
          <w:lang w:val="vi-VN"/>
        </w:rPr>
        <w:t xml:space="preserve">theo quy định tại khoản 2 Điều 14 Hiến pháp năm 2013: </w:t>
      </w:r>
      <w:r w:rsidRPr="00ED5E38">
        <w:rPr>
          <w:i/>
          <w:iCs/>
          <w:noProof/>
          <w:color w:val="000000" w:themeColor="text1"/>
          <w:sz w:val="26"/>
          <w:szCs w:val="26"/>
          <w:lang w:val="vi-VN"/>
        </w:rPr>
        <w:t>“</w:t>
      </w:r>
      <w:r w:rsidRPr="00ED5E38">
        <w:rPr>
          <w:b/>
          <w:bCs/>
          <w:i/>
          <w:iCs/>
          <w:noProof/>
          <w:color w:val="000000" w:themeColor="text1"/>
          <w:sz w:val="26"/>
          <w:szCs w:val="26"/>
          <w:lang w:val="vi-VN"/>
        </w:rPr>
        <w:t>Quyền con người, quyền công dân chỉ có thể bị hạn chế theo quy định của luật trong trường hợp cần thiết vì</w:t>
      </w:r>
      <w:r w:rsidRPr="00ED5E38">
        <w:rPr>
          <w:i/>
          <w:iCs/>
          <w:noProof/>
          <w:color w:val="000000" w:themeColor="text1"/>
          <w:sz w:val="26"/>
          <w:szCs w:val="26"/>
          <w:lang w:val="vi-VN"/>
        </w:rPr>
        <w:t xml:space="preserve"> lý do quốc phòng, an ninh quốc gia</w:t>
      </w:r>
      <w:r w:rsidRPr="00ED5E38">
        <w:rPr>
          <w:b/>
          <w:bCs/>
          <w:i/>
          <w:iCs/>
          <w:noProof/>
          <w:color w:val="000000" w:themeColor="text1"/>
          <w:sz w:val="26"/>
          <w:szCs w:val="26"/>
          <w:lang w:val="vi-VN"/>
        </w:rPr>
        <w:t>, trật tự, an toàn xã hội, đạo đức xã hội,</w:t>
      </w:r>
      <w:r w:rsidRPr="00ED5E38">
        <w:rPr>
          <w:i/>
          <w:iCs/>
          <w:noProof/>
          <w:color w:val="000000" w:themeColor="text1"/>
          <w:sz w:val="26"/>
          <w:szCs w:val="26"/>
          <w:lang w:val="vi-VN"/>
        </w:rPr>
        <w:t xml:space="preserve"> </w:t>
      </w:r>
      <w:r w:rsidRPr="00ED5E38">
        <w:rPr>
          <w:b/>
          <w:bCs/>
          <w:i/>
          <w:iCs/>
          <w:noProof/>
          <w:color w:val="000000" w:themeColor="text1"/>
          <w:sz w:val="26"/>
          <w:szCs w:val="26"/>
          <w:lang w:val="vi-VN"/>
        </w:rPr>
        <w:t>sức khỏe của cộng đồng</w:t>
      </w:r>
      <w:r w:rsidRPr="00ED5E38">
        <w:rPr>
          <w:i/>
          <w:iCs/>
          <w:noProof/>
          <w:color w:val="000000" w:themeColor="text1"/>
          <w:sz w:val="26"/>
          <w:szCs w:val="26"/>
          <w:lang w:val="vi-VN"/>
        </w:rPr>
        <w:t>.</w:t>
      </w:r>
      <w:bookmarkEnd w:id="21"/>
      <w:r w:rsidRPr="00ED5E38">
        <w:rPr>
          <w:i/>
          <w:iCs/>
          <w:noProof/>
          <w:color w:val="000000" w:themeColor="text1"/>
          <w:sz w:val="26"/>
          <w:szCs w:val="26"/>
          <w:lang w:val="vi-VN"/>
        </w:rPr>
        <w:t>”</w:t>
      </w:r>
      <w:r w:rsidRPr="00ED5E38">
        <w:rPr>
          <w:noProof/>
          <w:color w:val="000000" w:themeColor="text1"/>
          <w:sz w:val="26"/>
          <w:szCs w:val="26"/>
          <w:lang w:val="vi-VN"/>
        </w:rPr>
        <w:t xml:space="preserve"> Do đó, việc quy định khái niệm “hàng giả” trong Luật Thương mại phù hợp và không trái với quy định của Hiến pháp.</w:t>
      </w:r>
    </w:p>
    <w:p w14:paraId="3ED3227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pháp, tính thống nhất của chính sách với hệ thống pháp luật:</w:t>
      </w:r>
    </w:p>
    <w:p w14:paraId="44DD8DF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(1) Về quy định pháp luật hiện hành về hàng giả: Đã nêu tại Giải pháp 1.</w:t>
      </w:r>
    </w:p>
    <w:p w14:paraId="029BFDB3" w14:textId="77777777" w:rsidR="00F76D23" w:rsidRPr="00ED5E38" w:rsidRDefault="00F76D23" w:rsidP="00FD5E31">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ab/>
        <w:t>(2) Về sự trùng lặp hoặc mâu thuẫn hoặc khả năng tạo ra xung đột với quy định của pháp luật hiện hành</w:t>
      </w:r>
    </w:p>
    <w:p w14:paraId="35605BA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Nội hàm “giả về nội dung” trong Giải pháp 2 có khả năng trùng lặp một phần với thuật ngữ “hàng hóa không bảo đảm chất lượng hàng hóa” quy định tại Điều 608 Bộ luật Dân sự, “hàng hóa không phù hợp tiêu chuẩn công bố áp dụng, quy chuẩn kỹ thuật” </w:t>
      </w:r>
      <w:r w:rsidRPr="00ED5E38">
        <w:rPr>
          <w:noProof/>
          <w:color w:val="000000" w:themeColor="text1"/>
          <w:sz w:val="26"/>
          <w:szCs w:val="26"/>
          <w:lang w:val="vi-VN"/>
        </w:rPr>
        <w:lastRenderedPageBreak/>
        <w:t xml:space="preserve">trong Luật Chất lượng sản phẩm, hàng hóa (có thường được gọi là “hàng kém chất lượng”) do các thuật ngữ đều hướng tới chất lượng của hàng hóa. </w:t>
      </w:r>
    </w:p>
    <w:p w14:paraId="4CA8BBC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Tuy nhiên, về bản chất pháp lý, khái niệm “hàng giả” trong giải pháp này hướng tới bản chất của hàng hóa được tạo ra bởi hành vi do lỗi cố ý tác động vào hàng hóa khiến hàng hóa có chất lượng, giá trị sử dụng không còn đúng với giá trị sử dụng, công dụng dự định của hàng hóa, cố ý xâm phạm trực tiếp tới trật tự quản lý nhà nước và quyền lợi của người tiêu dùng, thể hiện tính gian dối, làm sai lệch bản chất, công dụng, giá trị sử dụng của hàng hoá. </w:t>
      </w:r>
    </w:p>
    <w:p w14:paraId="0039D02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Trong khi đó, “hàng hóa không bảo đảm chất lượng hàng hóa” quy định tại Điều 608 Bộ luật Dân sự và “hàng hóa không phù hợp tiêu chuẩn công bố áp dụng, quy chuẩn kỹ thuật” trong Luật Chất lượng sản phẩm, hàng hóa không hoàn toàn xuất phát từ một hành vi cố ý mà có thể do bản chất thông thường của hàng hóa cũng có thể dẫn tới hàng hóa có chất lượng không còn phù hợp với tiêu chuẩn, quy chuẩn (như bay hơi, tiêu hao, lỗi vô ý trong quá trình sản xuất hoặc bảo quản...), không phải luôn hướng tới mục đích xâm phậm trật tự quản lý nhà nước hay quyền lợi của người tiêu dùng. </w:t>
      </w:r>
    </w:p>
    <w:p w14:paraId="44F2A3A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Sự mâu thuẫn giữa “hàng giả” và “hàng kém chất lượng” không phải vấn đề mới xuất hiện mà ngay từ khi khái niệm “hàng giả” lần đầu tiên được quy định tại Nghị định số 140-HĐBT, Bộ Thương mại và Du lịch và Ủy ban Khoa học Nhà nước đã ban hành Thông tư liên bộ số 1254/TTLB trong đó có quy định về phân biệt giữa hàng giả và hàng kém chất lượng. Như đã phân tích tại mục I về bối cảnh xây dựng chính sách, quan điểm và định hướng phân biệt giữa “hàng giả” và “hàng kém chất lượng” qua từng giai đoạn ngày càng rõ ràng, quy định cụ thể tỷ lệ sai lệch và cùng chung một hướng quy định là “mức chất lượng tối thiểu”, hay “chất lượng kém đến một mức nhất định sẽ là giả”. </w:t>
      </w:r>
    </w:p>
    <w:p w14:paraId="2B7E49A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Do đó, để giải quyết khả năng mâu thuẫn này, dự kiến sẽ giao Chính phủ quy định về tỷ lệ sai lệch về chất lượng để đảm bảo tính linh hoạt và phù hợp với thực tiễn phát sinh trên thực tế.</w:t>
      </w:r>
    </w:p>
    <w:p w14:paraId="26DCE5D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(3) Về sự cần thiết phải ban hành mới, sửa đổi, bổ sung, thay thế hoặc bãi bỏ văn bản quy phạm pháp luật</w:t>
      </w:r>
    </w:p>
    <w:p w14:paraId="036B005E"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quy định khái niệm “hàng giả” theo hướng quy định chung trong Luật Thương mại, trong đó, nội hàm khái niệm “hàng giả” chỉ bao hàm giả về giá trị sử dụng, công dụng sẽ cần thiết phải sửa đổi, bổ sung, thay thế hoặc bãi bỏ một số quy định trong các văn bản quy phạm pháp luật sau:</w:t>
      </w:r>
    </w:p>
    <w:p w14:paraId="3AF9C8A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Ban hành Nghị định của Chính phủ quy định chi tiết một số vấn đề cần làm rõ trong khái niệm mà Luật quy định như tỷ lệ sai lệch (cao hơn hoặc thấp hơn), yếu tố “bản chất, giá trị sử dụng, công dụng hoặc chất lượng dự định”  để đảm bảo tính linh hoạt và phù hợp với thực tiễn phát sinh trên thực tế. Bên cạnh đó, nghiên cứu quy định một số cơ chế trong việc xác định hàng giả như ứng dụng khoa học và công nghệ trong phát hiện hàng giả, đặc biệt là hàng giả trên các sàn thương mại điện tử.</w:t>
      </w:r>
    </w:p>
    <w:p w14:paraId="1B93727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 Sửa đổi, bổ sung Nghị định quy định xử phạt vi phạm hành chính trong hoạt động thương mại, sản xuất, buôn bán hàng giả, hàng cấm và bảo vệ quyền lợi người tiêu dùng (hiện nay là Nghị định số 98/2020/NĐ-CP), trong đó:</w:t>
      </w:r>
    </w:p>
    <w:p w14:paraId="029B9AED"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Bãi bỏ quy định về khái niệm “hàng giả” tại khoản 7, khoản 8 Điều 3 (do đã có Nghị định riêng quy định chi tiết Luật Thương mại đối với nội dung về “hàng giả”);</w:t>
      </w:r>
    </w:p>
    <w:p w14:paraId="2693191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Nghiên cứu bãi bỏ hoặc sửa đổi, bổ sung việc xử phạt vi phạm hành chính đối với nhóm hành vi liên quan đến sản xuất, buôn bán </w:t>
      </w:r>
      <w:bookmarkStart w:id="22" w:name="dieu_11"/>
      <w:r w:rsidRPr="00ED5E38">
        <w:rPr>
          <w:noProof/>
          <w:color w:val="000000" w:themeColor="text1"/>
          <w:sz w:val="26"/>
          <w:szCs w:val="26"/>
          <w:lang w:val="vi-VN"/>
        </w:rPr>
        <w:t>hàng giả mạo nhãn hàng hóa, bao bì hàng hóa</w:t>
      </w:r>
      <w:bookmarkEnd w:id="22"/>
      <w:r w:rsidRPr="00ED5E38">
        <w:rPr>
          <w:noProof/>
          <w:color w:val="000000" w:themeColor="text1"/>
          <w:sz w:val="26"/>
          <w:szCs w:val="26"/>
          <w:lang w:val="vi-VN"/>
        </w:rPr>
        <w:t xml:space="preserve"> và </w:t>
      </w:r>
      <w:bookmarkStart w:id="23" w:name="dieu_14"/>
      <w:r w:rsidRPr="00ED5E38">
        <w:rPr>
          <w:noProof/>
          <w:color w:val="000000" w:themeColor="text1"/>
          <w:sz w:val="26"/>
          <w:szCs w:val="26"/>
          <w:lang w:val="vi-VN"/>
        </w:rPr>
        <w:t>tem, nhãn, bao bì hàng hóa giả</w:t>
      </w:r>
      <w:bookmarkEnd w:id="23"/>
      <w:r w:rsidRPr="00ED5E38">
        <w:rPr>
          <w:noProof/>
          <w:color w:val="000000" w:themeColor="text1"/>
          <w:sz w:val="26"/>
          <w:szCs w:val="26"/>
          <w:lang w:val="vi-VN"/>
        </w:rPr>
        <w:t xml:space="preserve"> (Điều 11, Điều 12, Điều 13, Điều 14).</w:t>
      </w:r>
    </w:p>
    <w:p w14:paraId="74365A8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Quy định điều khoản chuyển tiếp đối với những vụ việc về hàng giả đang xử lý.</w:t>
      </w:r>
    </w:p>
    <w:p w14:paraId="643BCF59"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Nghiên cứu việc quy định trong Bộ luật Hình sự về xử lý đối với nhóm hành vi gian dối, giả mạo có liên quan đến những hàng hóa vi phạm về nhãn, bao bì của hàng hoá; tem, nhãn, bao bì hàng hóa giả đang được xử lý theo khái niệm “hàng giả” trong Nghị định số 98/2020/NĐ-CP.</w:t>
      </w:r>
    </w:p>
    <w:p w14:paraId="658E6F2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Nghiên cứu sửa đổi, bổ sung quy định của Luật Chất lượng sản phẩm, hàng hoá và Nghị định số 37/2026/NĐ-CP ngày 23/01/2026 của Chính phủ quy định chi tiết một số điều và biện pháp để tổ chức, hướng dẫn thi hành Luật Chất lượng sản phẩm, hàng hóa, đảm bảo đầy đủ cơ sở pháp lý để xử lý đối với các hành vi vi phạm có liên quan đến những hàng hóa vi phạm về nhãn, bao bì của hàng hoá; tem, nhãn, bao bì hàng hóa giả đang được xử lý theo khái niệm “hàng giả” trong Nghị định số 98/2020/NĐ-CP.</w:t>
      </w:r>
    </w:p>
    <w:p w14:paraId="244B4BF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Nghiên cứu, hoàn thiện hệ thống tiêu chuẩn, quy chuẩn đối với sản phẩm, hàng hoá để có cơ sở đánh giá chất lượng đối với các hàng hoá.</w:t>
      </w:r>
    </w:p>
    <w:p w14:paraId="77AE14E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(4) Về việc bảo đảm tính khả thi về mặt pháp lý</w:t>
      </w:r>
    </w:p>
    <w:p w14:paraId="6C65ABE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quy định khái niệm “hàng giả” theo hướng quy định chung trong Luật Thương mại như phương án dự kiến có thể thực thi ngay trong một số trường hợp đối với hàng hóa không có giá trị sử dụng hoặc công dụng hoặc giá trị sử dụng, công dụng không đúng với bản chất, tên gọi hoặc giá trị sử dụng, công dụng dự định của hàng hóa.</w:t>
      </w:r>
    </w:p>
    <w:p w14:paraId="138094A9"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Tuy nhiên, đối với trường hợp xác định nội hàm giữa việc xác định mức chênh lệch tỷ lệ giữa hàng giả và hàng không đảm bảo chất lượng thì áp dụng rõ ràng hơn sau khi có quy định của Chính phủ.</w:t>
      </w:r>
    </w:p>
    <w:p w14:paraId="46D3E5D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ngắn hạn (ngay sau khi Luật ban hành hoặc có hiệu lực cùng thời điều mà Luật có hiệu lực): Ban hành Nghị định quy định chi tiết và sửa đổi, bổ sung Nghị định quy định xử phạt vi phạm hành chính trong hoạt động thương mại, sản xuất, buôn bán hàng giả, hàng cấm và bảo vệ quyền lợi người tiêu dùng theo những nội dung đã nêu ở trên.</w:t>
      </w:r>
    </w:p>
    <w:p w14:paraId="4A25702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Trong trung hạn: Nghiên cứu việc quy định trong Bộ luật Hình sự về xử lý đối với nhóm hành vi gian dối, giả mạo có liên quan đến những hàng hóa vi phạm về nhãn, bao bì của hàng hoá; tem, nhãn, bao bì hàng hóa giả đang được xử lý theo khái niệm </w:t>
      </w:r>
      <w:r w:rsidRPr="00ED5E38">
        <w:rPr>
          <w:noProof/>
          <w:color w:val="000000" w:themeColor="text1"/>
          <w:sz w:val="26"/>
          <w:szCs w:val="26"/>
          <w:lang w:val="vi-VN"/>
        </w:rPr>
        <w:lastRenderedPageBreak/>
        <w:t>“hàng giả” trong Nghị định số 98/2020/NĐ-CP và việc sửa đổi, bổ sung quy định của Luật Chất lượng sản phẩm, hàng hoá và Nghị định số 37/2026/NĐ-CP ngày 23/01/2026 của Chính phủ quy định chi tiết một số điều và biện pháp để tổ chức, hướng dẫn thi hành Luật Chất lượng sản phẩm, hàng hóa, đảm bảo đầy đủ cơ sở pháp lý để xử lý đối với các hành vi vi phạm có liên quan đến những hàng hóa vi phạm về nhãn, bao bì của hàng hoá; tem, nhãn, bao bì hàng hóa giả đang được xử lý theo khái niệm “hàng giả” trong Nghị định số 98/2020/NĐ-CP.</w:t>
      </w:r>
    </w:p>
    <w:p w14:paraId="194B619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dài hạn: Nghiên cứu, hoàn thiện hệ thống tiêu chuẩn, quy chuẩn đối với sản phẩm, hàng hoá để có cơ sở đánh giá chất lượng đối với các hàng hoá.</w:t>
      </w:r>
    </w:p>
    <w:p w14:paraId="7BEC32F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Tính tương thích với các điều ước quốc tế có liên quan mà nước Cộng hòa xã hội chủ nghĩa Việt Nam là thành viên: </w:t>
      </w:r>
    </w:p>
    <w:p w14:paraId="2F6B8499"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noProof/>
          <w:color w:val="000000" w:themeColor="text1"/>
          <w:sz w:val="26"/>
          <w:szCs w:val="26"/>
          <w:lang w:val="vi-VN"/>
        </w:rPr>
        <w:t>Việc quy định khái niệm “hàng giả” trong Luật Thương mại là một biện pháp quản lý thị trường trong nước, hướng tới chống gian lận trong thương mại và bảo vệ sức khoẻ của cộng đồng cũng như quyền và lợi ích hợp pháp của các doanh nghiệp kinh doanh hợp pháp, không hướng tới và không tạo ra các biện pháp bảo hộ, trở ngại hoặc rào cản kỹ thuật thương mại trái với cam kết quốc tế (Hiệp định về việc áp dụng các biện pháp vệ sinh an toàn thực phẩm và kiểm dịch động thực vật (Hiệp định SPS), Hiệp định về hàng rào kỹ thuật trong thương mại (Hiệp định TBT) của WTO) và phù hợp với quy định về ngoại lệ chung đối với các quốc gia trong việc thi hành hoặc áp dụng các biện pháp cần thiết để bảo vệ cuộc sống và sức khoẻ con người được quy định tại Điều XX</w:t>
      </w:r>
      <w:r w:rsidRPr="00ED5E38">
        <w:rPr>
          <w:rStyle w:val="FootnoteReference"/>
          <w:noProof/>
          <w:color w:val="000000" w:themeColor="text1"/>
          <w:sz w:val="26"/>
          <w:szCs w:val="26"/>
          <w:lang w:val="vi-VN"/>
        </w:rPr>
        <w:footnoteReference w:id="43"/>
      </w:r>
      <w:r w:rsidRPr="00ED5E38">
        <w:rPr>
          <w:noProof/>
          <w:color w:val="000000" w:themeColor="text1"/>
          <w:sz w:val="26"/>
          <w:szCs w:val="26"/>
          <w:lang w:val="vi-VN"/>
        </w:rPr>
        <w:t xml:space="preserve"> của Hiệp định chung về thuế quan và thương mại (Hiệp định GATT), đặc biệt nhằm thực thi quyền được hưởng mức sống khả quan về sức khoẻ được ghi nhận tại Tuyên ngôn quốc tế nhân quyền năm 1948</w:t>
      </w:r>
      <w:r w:rsidRPr="00ED5E38">
        <w:rPr>
          <w:rStyle w:val="FootnoteReference"/>
          <w:noProof/>
          <w:color w:val="000000" w:themeColor="text1"/>
          <w:sz w:val="26"/>
          <w:szCs w:val="26"/>
          <w:lang w:val="vi-VN"/>
        </w:rPr>
        <w:footnoteReference w:id="44"/>
      </w:r>
      <w:r w:rsidRPr="00ED5E38">
        <w:rPr>
          <w:noProof/>
          <w:color w:val="000000" w:themeColor="text1"/>
          <w:sz w:val="26"/>
          <w:szCs w:val="26"/>
          <w:lang w:val="vi-VN"/>
        </w:rPr>
        <w:t>.</w:t>
      </w:r>
    </w:p>
    <w:p w14:paraId="4ACA9FD9"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Các điều ước quốc tế mà Việt Nam là thành viên trong lĩnh vực sở hữu trí tuệ và thương mại như Hiệp định TRIP của WTO hay các FTA mà Việt Nam tham gia đều tập trung điều chỉnh đối với hành vi làm giả nhãn hiệu, xâm phạm quyền tác giả và các nghĩa vụ liên quan đến thực thi quyền, đặc biệt trong hoạt động thương mại và tại biên giới. </w:t>
      </w:r>
    </w:p>
    <w:p w14:paraId="27BC38E9" w14:textId="6C33E3B8" w:rsidR="00F76D23" w:rsidRPr="00ED5E38" w:rsidRDefault="00F76D23" w:rsidP="00E13FB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Việc Giải pháp 2 định hướng chuyển việc điều chỉnh “hàng giả hình thức” sang Luật Sở hữu trí tuệ hoặc pháp luật về truy xuất nguồn gốc, về xuất xứ hàng hóa không trái với các điều ước quốc tế nêu trên, bởi cách tiếp cận này phù hợp với xu hướng chung của các hiệp định khi coi hành vi làm giả nhãn hiệu, giả mạo chỉ dẫn địa lý và sao chép lậu quyền tác giả là trung tâm của cơ chế bảo hộ và thực thi. Đồng thời, các điều ước quốc tế cũng không đặt ra nghĩa vụ buộc Việt Nam phải coi các hành vi “giả về chất lượng” hoặc “giả về công dụng” là “counterfeit” theo nghĩa sở hữu trí tuệ, mà để ngỏ </w:t>
      </w:r>
      <w:r w:rsidRPr="00ED5E38">
        <w:rPr>
          <w:noProof/>
          <w:color w:val="000000" w:themeColor="text1"/>
          <w:sz w:val="26"/>
          <w:szCs w:val="26"/>
          <w:lang w:val="vi-VN"/>
        </w:rPr>
        <w:lastRenderedPageBreak/>
        <w:t>phạm vi này cho pháp luật quốc gia điều chỉnh dưới góc độ bảo vệ người tiêu dùng và quản lý chất lượng hàng hóa. Do đó, Giải pháp 2 không có nguy cơ dẫn đến xung đột với các điều ước quốc tế mà Việt Nam là thành viên và không có khả năng phát sinh tranh chấp quốc tế, thương mại đầu tư.</w:t>
      </w:r>
    </w:p>
    <w:p w14:paraId="7ADFFA17" w14:textId="77777777" w:rsidR="00F76D23" w:rsidRPr="00ED5E38" w:rsidRDefault="00F76D23" w:rsidP="00FD5E31">
      <w:pPr>
        <w:tabs>
          <w:tab w:val="right" w:leader="dot" w:pos="7920"/>
        </w:tabs>
        <w:spacing w:before="120" w:after="120" w:line="340" w:lineRule="exact"/>
        <w:ind w:firstLine="709"/>
        <w:jc w:val="both"/>
        <w:rPr>
          <w:b/>
          <w:i/>
          <w:iCs/>
          <w:noProof/>
          <w:color w:val="000000" w:themeColor="text1"/>
          <w:sz w:val="26"/>
          <w:szCs w:val="26"/>
          <w:lang w:val="vi-VN"/>
        </w:rPr>
      </w:pPr>
      <w:r w:rsidRPr="00ED5E38">
        <w:rPr>
          <w:b/>
          <w:i/>
          <w:iCs/>
          <w:noProof/>
          <w:color w:val="000000" w:themeColor="text1"/>
          <w:sz w:val="26"/>
          <w:szCs w:val="26"/>
          <w:lang w:val="vi-VN"/>
        </w:rPr>
        <w:t>- Tác động về kinh tế - xã hội</w:t>
      </w:r>
    </w:p>
    <w:p w14:paraId="7D8A2E13"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nhà nước: </w:t>
      </w:r>
    </w:p>
    <w:p w14:paraId="39169A7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3331BCE6"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Việc quy định khái niệm “hàng giả” ở cấp Luật giúp củng cố cơ sở pháp lý, hiệu lực của khái niệm “hàng giả” từ đó áp dụng thống nhất, không chỉ giới hạn trong xử lý các hành vi vi phạm mà còn tạo cơ sở thúc đẩy biện pháp quản lý, khoa học và công nghệ, đổi mới sáng tạo trong phát hiện “hàng giả”, từ đó nâng cao hiệu quả của công cuộc đấu tranh, phòng, chống sản xuất, buôn bán hàng giả, bảo vệ quyền, lợi ích hợp pháp, chính đáng của Nhân dân, doanh nghiệp, bảo vệ an ninh, an toàn sức khỏe cho Nhân dân, góp phần phục vụ đất nước phát triển nhanh, bền vững cũng như khẳng định cam kết của Nhà nước ta trong công cuộc chống hàng giả và bảo vệ người tiêu dùng, bảo vệ những doanh nghiệp kinh doanh chân chính. </w:t>
      </w:r>
    </w:p>
    <w:p w14:paraId="1628975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trọng tâm xử lý hàng giả về chất lượng: Khi khái niệm hàng giả chỉ bao hàm giả về chất lượng cùng với cơ chế xử lý đối với hàng giả mạnh mẽ, nghiêm khắc, các lượng lượng thực thi sẽ tập trung xử lý các vụ việc hàng giả về chất lượng - hành vi nghiêm trọng và gây hại trực tiếp cho sức khỏe, tính mạng của người tiêu dùng thay vì phân bổ nguồn lực cho xử lý các dấu hiệu giả khác.</w:t>
      </w:r>
    </w:p>
    <w:p w14:paraId="2E4227D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3AFF310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Nếu định nghĩa quá chung và thiếu tiêu chí cụ thể thì các doanh nghiệp có thể chịu rủi ro pháp lý do hàng hoá do sai số sản xuất, do lỗi bảo quản của khâu vận tải, hoặc do biến đổi tự nhiên của sản phẩm theo thời gian có thể bị suy diễn thành sai lệch chất lượng dự định. Do đó, Nhà nước cần ban hành Nghị định quy định chi tiết, hướng dẫn thi hành cụ thể để xác định các tiêu chí, yếu tố cụ thể để xác định là hàng giả. </w:t>
      </w:r>
    </w:p>
    <w:p w14:paraId="6B08D62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(ii) Việc quy định khái niệm “hàng giả” ở cấp Luật sẽ đề cao tính ổn định, khó sửa đổi, bổ sung để theo kịp với những diễn biến khó lường của thị trường hàng hóa trong nước. Bên cạnh đó, việc quy định khái niệm “hàng giả” ở cấp Luật sẽ phát sinh chi phí, thời gian, công sức để bãi bỏ quy định tại Nghị định số 98/2020/NĐ-CP và xây dựng văn bản quy định chi tiết hoặc hướng dẫn khái niệm “hàng giả”. </w:t>
      </w:r>
    </w:p>
    <w:p w14:paraId="4D0C4C4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(iii) Tăng chi phí quản lý do thay đổi thể chế </w:t>
      </w:r>
    </w:p>
    <w:p w14:paraId="6BD6AC3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Tăng chi phí cho ban hành Nghị định để quy định chi tiết, hướng dẫn thi hành khái niệm hàng giả trong Luật Thương mại cũng như các chi phí để nghiên cứu, rà soát, sửa đổi, bổ sung các quy định để xử lý đối với các hành vi về giả mạo nguồn gốc, xuất xứ hay giả mạo về nhãn, bao bì hàng hóa.</w:t>
      </w:r>
    </w:p>
    <w:p w14:paraId="259A6A5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 Tăng chi phí đào tạo, tập huấn do khái niệm “hàng giả” thay đổi và tập huấn đối với những thay đổi về quy định để xử lý đối với các hành vi về giả mạo nguồn gốc, xuất xứ hay giả mạo về nhãn, bao bì hàng hóa.</w:t>
      </w:r>
    </w:p>
    <w:p w14:paraId="2FEE5EDA"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Tăng chi phí kiểm nghiệm, giám định để xử lý vụ việc về hàng giả do nội hàm khái niệm tập trung vào giả về chất lượng, công dụng, giá trị sử dụng.</w:t>
      </w:r>
    </w:p>
    <w:p w14:paraId="66B9A37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Tăng chi phí truyền thông chính sách để tránh rủi ro về việc người tiêu dùng hiểu nhầm rằng bỏ tiêu chí xác định “hàng giả” là nới lỏng chính sách về “hảng giả” chứ không phải hướng đến phân loại “hàng giả” và thái độ cứng rắn của Nhà nước trong xử lý hàng giả về chất lượng – yếu tố ảnh hưởng trực tiếp đến sức khoẻ, tính mạng của Nhân dân.</w:t>
      </w:r>
    </w:p>
    <w:p w14:paraId="7AC0F70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(iv) Giảm thu ngân sách từ xử lý hàng giả </w:t>
      </w:r>
    </w:p>
    <w:p w14:paraId="57D0B4F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Do khái niệm hàng giả về hình thức và tem, nhãn, bao bì hàng hóa không còn được xác định là hàng giả mà chuyển sang vi phạm về nhãn hàng hoá, truy xuất nguồn gốc hàng hoá, xuất xứ của hàng hoá có thể làm thay đổi cơ cấu xử phạt (mức phạt, biện pháp khắc phục), nên có thể giảm thu ngân sách từ những vụ việc xử lý hàng giả. Tuy nhiên, nguồn thu ngân sách có thể tăng lại nếu hoàn thiện các quy định về xử lý đối với loại hàng giả về hình thức, tem, nhãn, bao bì hàng hóa giả. </w:t>
      </w:r>
    </w:p>
    <w:p w14:paraId="7CBBF64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 Giả nhãn, bao bì hàng hóa có thể nhằm gây nhầm lẫn với hàng hóa hợp pháp nhưng không phải lúc nào cũng cấu thành giả mạo nhãn hiệu/chỉ dẫn địa lý theo tiêu chí bảo hộ, hoặc không đủ căn cứ chứng minh yếu tố xâm phạm quyền theo pháp luật sở hữu trí tuệ. Do đó, nếu Luật Thương mại không coi đây là “hàng giả” sẽ dẫn tới nguy cơ phát sinh khoảng trống trong việc xử lý các hành vi có tính chất đánh lừa người tiêu dùng nhưng không bị xử lý (nếu chưa kịp thời hoàn thiện quy định xử lý đối với nhóm hành vi này) sẽ làm suy giảm hiệu quả bảo vệ trật tự thương mại nói chung</w:t>
      </w:r>
    </w:p>
    <w:p w14:paraId="51E497C7"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doanh nghiệp: </w:t>
      </w:r>
    </w:p>
    <w:p w14:paraId="499F82F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076EFC45"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Việc quy định khái niệm “hàng giả” trong Luật Thương mại có ý nghĩa quan trọng và trực tiếp trong việc bảo đảm ổn định thị trường, từ đó bảo vệ quyền và lợi ích hợp pháp của doanh nghiệp trong sản xuất, kinh doanh, đặc biệt là những doanh nghiệp chân chính, có hàng hóa bị làm giả, tạo môi trường cạnh tranh bình đẳng, đảm bảo uy tín, chất lượng và sự phát triển của các doanh nghiệp trong nền kinh tế. Một thị trường mà hàng giả bị hạn chế thường khuyến khích cạnh tranh dựa trên đổi mới và chất lượng. Điều này tạo động lực đầu tư, chuẩn hóa quy trình, và nâng cấp năng lực quản trị chuỗi cung ứng.</w:t>
      </w:r>
    </w:p>
    <w:p w14:paraId="47D096B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(ii) Giảm chi phí tuân thủ do hệ thống pháp luật rõ ràng và giảm tranh chấp: Giải pháp 2 có thể làm giảm chi phí tuân thủ của doanh nghiệp do tránh được “rủi ro pháp lý kép”: cùng một lỗi nhãn hoặc tranh chấp dấu hiệu có thể bị quy thành “hàng giả”, trong khi bản chất là sở hữu trí tuệ hoặc nhãn hàng hoá. </w:t>
      </w:r>
    </w:p>
    <w:p w14:paraId="2831E3E9"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(iii) Cải thiện môi trường cạnh tranh và khuyến khích đầu tư vào thương hiệu/chất lượng: Khi “giả hình thức” được xử theo cơ chế sở hữu trí tuệ, nhãn và truy xuất nguồn gốc, xuất xứ và “giả nội dung” có tiêu chí định lượng rõ, doanh nghiệp có động lực đầu tư vào bảo vệ theo pháp luật về sở hữu trí tuệ, tập trung đầu tư chất lượng và truy xuất minh bạch. Điều này giúp nâng chất lượng cạnh tranh và giảm lợi thế bất chính của chủ thể gian dối.</w:t>
      </w:r>
    </w:p>
    <w:p w14:paraId="1D0132CB"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520664B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Việc không còn xác định trường hợp giả về hình thức là hàng giả sẽ một phần khiến việc xử lý hàng hóa vi phạm về nhãn, bao bì, hàng hóa giả giảm hiệu quả, nhất là trong bối cảnh nếu không kịp thời sửa đổi, bổ sung các quy định về xử lý đối với nhóm hành vi vi phạm phạm này. Khi đó, doanh nghiệp phải tự tăng chi phí giám sát thị trường, thu thập chứng cứ, làm việc với nhiều cơ quan, và có thể phải khởi kiện/đề nghị xử lý theo các hệ thống pháp luật khác. Tuy nhiên, tác động tiêu cực này có thể được cải thiện nếu pháp luật đã kịp thời sửa đổi, bổ sung, không bỏ lọt các hành vi làm giả nhãn, bao bì hàng hóa và tem, nhãn, bao bì hàng hóa giả.</w:t>
      </w:r>
    </w:p>
    <w:p w14:paraId="5A52D1EA"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(ii) Doanh nghiệp nhỏ và vừa sẽ ít gặp rủi ro hơn nếu chưa kịp đăng ký bảo hộ hoặc không đủ năng lực chứng minh để đủ điều kiện bảo hộ theo pháp luật về sở hữu trí tuệ. </w:t>
      </w:r>
    </w:p>
    <w:p w14:paraId="364BED81"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Đối với tổ chức, cá nhân: </w:t>
      </w:r>
    </w:p>
    <w:p w14:paraId="19E32C22"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3B20C5A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Việc quy định khái niệm “hàng giả” trong Luật Thương mại tạo cơ sở cho công cuộc đấu tranh, phòng, chống sản xuất, buôn bán hàng giả, qua đó góp phần bảo đảm quyền được bảo vệ về sức khỏe, tính mạng, quyền và lợi ích hợp pháp của người dân, những người tiêu dùng. Người dân là nhóm hưởng lợi rõ nhất nếu định nghĩa này giúp chống hàng giả hiệu quả. Khi hàng hóa bị làm sai lệch công dụng và chất lượng dự định bị nhận diện và xử lý nhanh hơn, người tiêu dùng giảm nguy cơ mua phải sản phẩm không có tác dụng, sai công dụng, hoặc gây hại. Lợi ích không chỉ nằm ở tài chính mà còn ở sức khỏe, đặc biệt với các nhóm hàng như thực phẩm, mỹ phẩm, dược, vật tư nông nghiệp ảnh hưởng an toàn. </w:t>
      </w:r>
    </w:p>
    <w:p w14:paraId="734B856F"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Bên cạnh đó, với khái niệm tại Phương án 1, doanh nghiệp cũng cần thận trọng hơn trong việc cung cấp, công bố, thể hiện các thông tin liên quan đến hàng hoá để tránh bị xác định các thông tin đó được coi là “công dụng, giá trị sử dụng dự định” của hàng hoá. Từ đó, người tiêu dùng cũng nhận được thông tin rõ ràng, chính xác và minh bạch hơn. Đặc biệt, nhóm yếu thế sẽ được bảo vệ tốt hơn vì họ thường dễ bị đánh lừa bởi các tuyên bố về công dụng.</w:t>
      </w:r>
    </w:p>
    <w:p w14:paraId="334AF780"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mức bảo vệ thực chất đối với rủi ro sức khỏe</w:t>
      </w:r>
    </w:p>
    <w:p w14:paraId="5E05ACD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Chính sách 1 tập trung “hàng giả” vào chất lượng, giá trị sử dụng, công dụng, do đó nguồn lực kiểm tra , kiểm nghiệm có điều kiện ưu tiên cho các nhóm gây hại lớn </w:t>
      </w:r>
      <w:r w:rsidRPr="00ED5E38">
        <w:rPr>
          <w:noProof/>
          <w:color w:val="000000" w:themeColor="text1"/>
          <w:sz w:val="26"/>
          <w:szCs w:val="26"/>
          <w:lang w:val="vi-VN"/>
        </w:rPr>
        <w:lastRenderedPageBreak/>
        <w:t>(thực phẩm, mỹ phẩm, dược, vật tư nông nghiệp, hàng tiêu dùng thiết yếu) từ đó giảm nguy cơ mua phải hàng sai công dụng.</w:t>
      </w:r>
    </w:p>
    <w:p w14:paraId="1AC55914"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1FF70FF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(i) Trong thực tiễn, người tiêu dùng chủ yếu dựa vào nhãn, bao bì, tem truy xuất, phiếu bảo hành để nhận diện hàng. Nếu pháp luật và thực thi giảm trọng tâm xử lý giả về hình thức theo pháp luật về thương mại, rủi ro hàng giả hình thức tồn tại lâu hơn trên thị trường, dẫn đến người dẫn cần tốn nhiều thời gian hơn trong việc lựa chọn mua sắm, tìm hiểu về của hàng hóa. </w:t>
      </w:r>
    </w:p>
    <w:p w14:paraId="642D0778"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Trong ngắn hạn có tác động tiêu cực về mặt truyền thông do người tiêu dùng có thể hiểu nhầm rằng bỏ hàng giả về hình thức và tem, nhãn, bao bì hàng hóa giả là nới lỏng nếu không truyền thông đúng, việc tái phân loại có thể bị hiểu là giảm mức độ nghiêm khắc. Vì vậy cần nghiên cứu để tăng chế tài hành chính hoặc xử lý hình sự với gian dối nhãn, xuất xứ theo pháp luật nhãn hang hoá, truy xuất nguồn gốc, xuất xứ hàng hoá và công bố rõ cơ chế xử lý.</w:t>
      </w:r>
    </w:p>
    <w:p w14:paraId="30634014" w14:textId="7F09716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b/>
          <w:i/>
          <w:iCs/>
          <w:noProof/>
          <w:color w:val="000000" w:themeColor="text1"/>
          <w:sz w:val="26"/>
          <w:szCs w:val="26"/>
          <w:lang w:val="vi-VN"/>
        </w:rPr>
        <w:t>- Tác động về giới (nếu có):</w:t>
      </w:r>
      <w:r w:rsidRPr="00ED5E38">
        <w:rPr>
          <w:noProof/>
          <w:color w:val="000000" w:themeColor="text1"/>
          <w:sz w:val="26"/>
          <w:szCs w:val="26"/>
          <w:lang w:val="vi-VN"/>
        </w:rPr>
        <w:t xml:space="preserve"> Chính sách không tạo ra sự phân biệt đối xử về giới, không đặt ra quy định riêng đối với nam hoặc nữ, tác động của chính sách là trung tính về giới.</w:t>
      </w:r>
    </w:p>
    <w:p w14:paraId="6A9E06AC" w14:textId="77777777" w:rsidR="00F76D23" w:rsidRPr="00ED5E38" w:rsidRDefault="00F76D23" w:rsidP="00FD5E31">
      <w:pPr>
        <w:tabs>
          <w:tab w:val="right" w:leader="dot" w:pos="7920"/>
        </w:tabs>
        <w:spacing w:before="120" w:after="120" w:line="340" w:lineRule="exact"/>
        <w:ind w:firstLine="709"/>
        <w:jc w:val="both"/>
        <w:rPr>
          <w:noProof/>
          <w:color w:val="000000" w:themeColor="text1"/>
          <w:sz w:val="26"/>
          <w:szCs w:val="26"/>
          <w:lang w:val="vi-VN"/>
        </w:rPr>
      </w:pPr>
      <w:r w:rsidRPr="00ED5E38">
        <w:rPr>
          <w:b/>
          <w:i/>
          <w:iCs/>
          <w:noProof/>
          <w:color w:val="000000" w:themeColor="text1"/>
          <w:sz w:val="26"/>
          <w:szCs w:val="26"/>
          <w:lang w:val="vi-VN"/>
        </w:rPr>
        <w:t>- Tác động của thủ tục hành chính (nếu có):</w:t>
      </w:r>
      <w:r w:rsidRPr="00ED5E38">
        <w:rPr>
          <w:noProof/>
          <w:color w:val="000000" w:themeColor="text1"/>
          <w:sz w:val="26"/>
          <w:szCs w:val="26"/>
          <w:lang w:val="vi-VN"/>
        </w:rPr>
        <w:t xml:space="preserve"> Chính sách không tạo ra thủ tục hành chính.</w:t>
      </w:r>
    </w:p>
    <w:bookmarkEnd w:id="8"/>
    <w:p w14:paraId="4B72D24B" w14:textId="77777777" w:rsidR="00F76D23" w:rsidRPr="00ED5E38" w:rsidRDefault="00F76D23" w:rsidP="00FD5E31">
      <w:pPr>
        <w:tabs>
          <w:tab w:val="right" w:leader="dot" w:pos="7920"/>
        </w:tabs>
        <w:spacing w:before="120" w:after="120" w:line="340" w:lineRule="exact"/>
        <w:ind w:firstLine="709"/>
        <w:jc w:val="both"/>
        <w:rPr>
          <w:i/>
          <w:iCs/>
          <w:noProof/>
          <w:color w:val="000000" w:themeColor="text1"/>
          <w:sz w:val="26"/>
          <w:szCs w:val="26"/>
          <w:lang w:val="vi-VN"/>
        </w:rPr>
      </w:pPr>
      <w:r w:rsidRPr="00ED5E38">
        <w:rPr>
          <w:iCs/>
          <w:noProof/>
          <w:color w:val="000000" w:themeColor="text1"/>
          <w:sz w:val="26"/>
          <w:szCs w:val="26"/>
          <w:lang w:val="vi-VN"/>
        </w:rPr>
        <w:t>* So sánh đối với tác động đối với kinh tế - xã hội giữa Giải pháp 1 và Giải pháp 2:</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252"/>
        <w:gridCol w:w="4536"/>
      </w:tblGrid>
      <w:tr w:rsidR="00F76D23" w:rsidRPr="00ED5E38" w14:paraId="053EBC05" w14:textId="77777777" w:rsidTr="00F76D23">
        <w:tc>
          <w:tcPr>
            <w:tcW w:w="1985" w:type="dxa"/>
          </w:tcPr>
          <w:p w14:paraId="0EFA70F9" w14:textId="77777777" w:rsidR="00F76D23" w:rsidRPr="00ED5E38" w:rsidRDefault="00F76D23" w:rsidP="00F76D23">
            <w:pPr>
              <w:spacing w:before="60" w:after="60"/>
              <w:jc w:val="center"/>
              <w:rPr>
                <w:noProof/>
                <w:color w:val="000000" w:themeColor="text1"/>
                <w:sz w:val="26"/>
                <w:szCs w:val="26"/>
                <w:lang w:val="vi-VN"/>
              </w:rPr>
            </w:pPr>
            <w:r w:rsidRPr="00ED5E38">
              <w:rPr>
                <w:b/>
                <w:bCs/>
                <w:noProof/>
                <w:color w:val="000000" w:themeColor="text1"/>
                <w:sz w:val="26"/>
                <w:szCs w:val="26"/>
                <w:lang w:val="vi-VN"/>
              </w:rPr>
              <w:t>Loại chi phí</w:t>
            </w:r>
          </w:p>
        </w:tc>
        <w:tc>
          <w:tcPr>
            <w:tcW w:w="4252" w:type="dxa"/>
          </w:tcPr>
          <w:p w14:paraId="38CCBF3F" w14:textId="77777777" w:rsidR="00F76D23" w:rsidRPr="00ED5E38" w:rsidRDefault="00F76D23" w:rsidP="00F76D23">
            <w:pPr>
              <w:spacing w:before="60" w:after="60"/>
              <w:jc w:val="center"/>
              <w:rPr>
                <w:noProof/>
                <w:color w:val="000000" w:themeColor="text1"/>
                <w:sz w:val="26"/>
                <w:szCs w:val="26"/>
                <w:lang w:val="vi-VN"/>
              </w:rPr>
            </w:pPr>
            <w:r w:rsidRPr="00ED5E38">
              <w:rPr>
                <w:b/>
                <w:bCs/>
                <w:noProof/>
                <w:color w:val="000000" w:themeColor="text1"/>
                <w:sz w:val="26"/>
                <w:szCs w:val="26"/>
                <w:lang w:val="vi-VN"/>
              </w:rPr>
              <w:t>Giải pháp 1</w:t>
            </w:r>
          </w:p>
        </w:tc>
        <w:tc>
          <w:tcPr>
            <w:tcW w:w="4536" w:type="dxa"/>
          </w:tcPr>
          <w:p w14:paraId="21D1B5F8" w14:textId="77777777" w:rsidR="00F76D23" w:rsidRPr="00ED5E38" w:rsidRDefault="00F76D23" w:rsidP="00F76D23">
            <w:pPr>
              <w:spacing w:before="60" w:after="60"/>
              <w:jc w:val="center"/>
              <w:rPr>
                <w:noProof/>
                <w:color w:val="000000" w:themeColor="text1"/>
                <w:sz w:val="26"/>
                <w:szCs w:val="26"/>
                <w:lang w:val="vi-VN"/>
              </w:rPr>
            </w:pPr>
            <w:r w:rsidRPr="00ED5E38">
              <w:rPr>
                <w:b/>
                <w:bCs/>
                <w:noProof/>
                <w:color w:val="000000" w:themeColor="text1"/>
                <w:sz w:val="26"/>
                <w:szCs w:val="26"/>
                <w:lang w:val="vi-VN"/>
              </w:rPr>
              <w:t>Giải pháp 2</w:t>
            </w:r>
          </w:p>
        </w:tc>
      </w:tr>
      <w:tr w:rsidR="00F76D23" w:rsidRPr="00ED5E38" w14:paraId="126B21E9" w14:textId="77777777" w:rsidTr="00F76D23">
        <w:tc>
          <w:tcPr>
            <w:tcW w:w="1985" w:type="dxa"/>
          </w:tcPr>
          <w:p w14:paraId="52BFC5E3"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1. Chi phí ban hành văn bản quy phạm pháp luật </w:t>
            </w:r>
          </w:p>
        </w:tc>
        <w:tc>
          <w:tcPr>
            <w:tcW w:w="4252" w:type="dxa"/>
          </w:tcPr>
          <w:p w14:paraId="2217668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do phải ban hành nghị định quy định chi tiết và hướng dẫn thi hành</w:t>
            </w:r>
          </w:p>
        </w:tc>
        <w:tc>
          <w:tcPr>
            <w:tcW w:w="4536" w:type="dxa"/>
          </w:tcPr>
          <w:p w14:paraId="76C58423"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Tăng mạnh do cần ban hành văn bản quy định chi tiết và hoàn thiện hệ thống văn bản để xử lý đối với hành vi giả về hình thức để tránh bỏ lọt hành vi vi phạm </w:t>
            </w:r>
          </w:p>
        </w:tc>
      </w:tr>
      <w:tr w:rsidR="00F76D23" w:rsidRPr="00ED5E38" w14:paraId="459674CB" w14:textId="77777777" w:rsidTr="00F76D23">
        <w:tc>
          <w:tcPr>
            <w:tcW w:w="1985" w:type="dxa"/>
          </w:tcPr>
          <w:p w14:paraId="3300B067"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2. Chi phí đào tạo, tập huấn, chuyển tiếp áp dụng</w:t>
            </w:r>
          </w:p>
        </w:tc>
        <w:tc>
          <w:tcPr>
            <w:tcW w:w="4252" w:type="dxa"/>
          </w:tcPr>
          <w:p w14:paraId="3C7C2135"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nhưng không đáng kể vì giải pháp này kế thừa và đang áp dụng ổn định theo Nghị định số 98/2020/NĐ-CP</w:t>
            </w:r>
          </w:p>
        </w:tc>
        <w:tc>
          <w:tcPr>
            <w:tcW w:w="4536" w:type="dxa"/>
          </w:tcPr>
          <w:p w14:paraId="0112B42B"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mạnh do thay đổi thể chế: cơ quan, công chức thực thi phải được tập huấn về các văn bản trong thương mại, nhãn, bao bì hàng hóa, sở hữu trí tuệ, xử lý vi phạm, pháp luật hình sự do có sửa đổi đồng bộ.</w:t>
            </w:r>
          </w:p>
        </w:tc>
      </w:tr>
      <w:tr w:rsidR="00F76D23" w:rsidRPr="00ED5E38" w14:paraId="1813E93C" w14:textId="77777777" w:rsidTr="00F76D23">
        <w:tc>
          <w:tcPr>
            <w:tcW w:w="1985" w:type="dxa"/>
          </w:tcPr>
          <w:p w14:paraId="380B58CE" w14:textId="28508A26"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3</w:t>
            </w:r>
            <w:r w:rsidR="001D3233" w:rsidRPr="00ED5E38">
              <w:rPr>
                <w:noProof/>
                <w:color w:val="000000" w:themeColor="text1"/>
                <w:sz w:val="26"/>
                <w:szCs w:val="26"/>
                <w:lang w:val="vi-VN"/>
              </w:rPr>
              <w:t xml:space="preserve">. </w:t>
            </w:r>
            <w:r w:rsidRPr="00ED5E38">
              <w:rPr>
                <w:noProof/>
                <w:color w:val="000000" w:themeColor="text1"/>
                <w:sz w:val="26"/>
                <w:szCs w:val="26"/>
                <w:lang w:val="vi-VN"/>
              </w:rPr>
              <w:t xml:space="preserve">Chi phí phối hợp liên ngành </w:t>
            </w:r>
          </w:p>
        </w:tc>
        <w:tc>
          <w:tcPr>
            <w:tcW w:w="4252" w:type="dxa"/>
          </w:tcPr>
          <w:p w14:paraId="265A9999"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Giảm do khái niệm giúp định danh nhanh và xử lý theo một trục hàng giả khi dấu hiệu rõ; </w:t>
            </w:r>
          </w:p>
          <w:p w14:paraId="7CC35659"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Tăng chi phí phối hợp liên ngành giữa các cơ quan quản lý để xác định các loại hàng giả </w:t>
            </w:r>
          </w:p>
        </w:tc>
        <w:tc>
          <w:tcPr>
            <w:tcW w:w="4536" w:type="dxa"/>
          </w:tcPr>
          <w:p w14:paraId="6CD49761"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do chỉ tập trung về một loại hàng giả là giả về chất lượng;</w:t>
            </w:r>
          </w:p>
          <w:p w14:paraId="32C0589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chi phí trong trường hợp phải phải tách vụ việc để xử lý nếu trong cùng một vụ việc hàng giả có dấu hiệu vi phạm pháp luật khác</w:t>
            </w:r>
          </w:p>
        </w:tc>
      </w:tr>
      <w:tr w:rsidR="00F76D23" w:rsidRPr="00ED5E38" w14:paraId="708D79C4" w14:textId="77777777" w:rsidTr="00F76D23">
        <w:tc>
          <w:tcPr>
            <w:tcW w:w="1985" w:type="dxa"/>
          </w:tcPr>
          <w:p w14:paraId="4EE75BBE"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4. Chi phí kỹ thuật: kiểm nghiệm, thử </w:t>
            </w:r>
            <w:r w:rsidRPr="00ED5E38">
              <w:rPr>
                <w:noProof/>
                <w:color w:val="000000" w:themeColor="text1"/>
                <w:sz w:val="26"/>
                <w:szCs w:val="26"/>
                <w:lang w:val="vi-VN"/>
              </w:rPr>
              <w:lastRenderedPageBreak/>
              <w:t>nghiệm chất lượng; giám định chuyên môn</w:t>
            </w:r>
          </w:p>
        </w:tc>
        <w:tc>
          <w:tcPr>
            <w:tcW w:w="4252" w:type="dxa"/>
          </w:tcPr>
          <w:p w14:paraId="1CB763A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lastRenderedPageBreak/>
              <w:t xml:space="preserve">Không tăng theo cơ chế mới (chỉ phát sinh khi vụ việc có dấu hiệu cần kiểm nghiệm/giám định); nhưng xu hướng </w:t>
            </w:r>
            <w:r w:rsidRPr="00ED5E38">
              <w:rPr>
                <w:noProof/>
                <w:color w:val="000000" w:themeColor="text1"/>
                <w:sz w:val="26"/>
                <w:szCs w:val="26"/>
                <w:lang w:val="vi-VN"/>
              </w:rPr>
              <w:lastRenderedPageBreak/>
              <w:t>giảm do có thể chặn sớm bằng dấu hiệu hình thức khi rõ ràng</w:t>
            </w:r>
          </w:p>
        </w:tc>
        <w:tc>
          <w:tcPr>
            <w:tcW w:w="4536" w:type="dxa"/>
          </w:tcPr>
          <w:p w14:paraId="427729D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lastRenderedPageBreak/>
              <w:t xml:space="preserve">Tăng vì khi bỏ “giả hình thức” khỏi hàng giả, cơ quan thực thi có xu hướng phải dựa nhiều hơn vào chứng cứ về chất </w:t>
            </w:r>
            <w:r w:rsidRPr="00ED5E38">
              <w:rPr>
                <w:noProof/>
                <w:color w:val="000000" w:themeColor="text1"/>
                <w:sz w:val="26"/>
                <w:szCs w:val="26"/>
                <w:lang w:val="vi-VN"/>
              </w:rPr>
              <w:lastRenderedPageBreak/>
              <w:t>lượng/công dụng dẫn đến tăng nhu cầu kiểm nghiệm để kết luận trong một vụ việc xử lý về hàng giả</w:t>
            </w:r>
          </w:p>
        </w:tc>
      </w:tr>
      <w:tr w:rsidR="00F76D23" w:rsidRPr="00ED5E38" w14:paraId="77050A67" w14:textId="77777777" w:rsidTr="00F76D23">
        <w:tc>
          <w:tcPr>
            <w:tcW w:w="1985" w:type="dxa"/>
          </w:tcPr>
          <w:p w14:paraId="7E8551C8"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lastRenderedPageBreak/>
              <w:t>5. Chi phí truyền thông chính sách (giải thích thay đổi, tránh hiểu nhầm, hướng dẫn phân biệt)</w:t>
            </w:r>
          </w:p>
        </w:tc>
        <w:tc>
          <w:tcPr>
            <w:tcW w:w="4252" w:type="dxa"/>
          </w:tcPr>
          <w:p w14:paraId="5B9F4FF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Không tăng do việc nâng khái niệm lên Luật mà tăng về truyền thông trong quá trình thống kê, công bố về số vụ việc xử lý về hàng giả</w:t>
            </w:r>
          </w:p>
        </w:tc>
        <w:tc>
          <w:tcPr>
            <w:tcW w:w="4536" w:type="dxa"/>
          </w:tcPr>
          <w:p w14:paraId="09CC206F"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vì phải truyền thông theo hướng không phải nới lỏng, mà là “phân loại”; đồng thời người tiêu dùng dễ hiểu nhầm “bỏ giả hình thức” là giảm chống hàng giả</w:t>
            </w:r>
          </w:p>
        </w:tc>
      </w:tr>
      <w:tr w:rsidR="00F76D23" w:rsidRPr="00ED5E38" w14:paraId="2071DB1D" w14:textId="77777777" w:rsidTr="00F76D23">
        <w:tc>
          <w:tcPr>
            <w:tcW w:w="1985" w:type="dxa"/>
          </w:tcPr>
          <w:p w14:paraId="176D0795"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6. Chi phí “định danh hành vi” và thời gian xử lý hồ sơ (nhà nước)</w:t>
            </w:r>
          </w:p>
        </w:tc>
        <w:tc>
          <w:tcPr>
            <w:tcW w:w="4252" w:type="dxa"/>
          </w:tcPr>
          <w:p w14:paraId="4CC8A3D6"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do dễ nhận diện dấu hiệu ban đầu, giảm thời gian xác minh/trao đổi do nhận diện sớm, tiết kiệm thời gian xử lý</w:t>
            </w:r>
          </w:p>
          <w:p w14:paraId="4842383C"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Tuy nhiên, có khả năng tăng vì gặp khó khăn trong trường hợp áp dụng pháp luật về thương mại hay sở hữu trí tuệ</w:t>
            </w:r>
          </w:p>
        </w:tc>
        <w:tc>
          <w:tcPr>
            <w:tcW w:w="4536" w:type="dxa"/>
          </w:tcPr>
          <w:p w14:paraId="2F743A6D"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cần thời gian để xác minh, kiểm nghiệm, giám định ban đầu.</w:t>
            </w:r>
          </w:p>
          <w:p w14:paraId="18F23F44"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Tuy nhiên, khi đã xác định được chính xác là giả về nội dung thì việc xử lý nhanh mà không gặp vướng mắc trong áp dụng pháp luật</w:t>
            </w:r>
          </w:p>
        </w:tc>
      </w:tr>
      <w:tr w:rsidR="00F76D23" w:rsidRPr="00ED5E38" w14:paraId="143B3569" w14:textId="77777777" w:rsidTr="00F76D23">
        <w:tc>
          <w:tcPr>
            <w:tcW w:w="1985" w:type="dxa"/>
          </w:tcPr>
          <w:p w14:paraId="4AEF9EFB"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7. Chi phí tuân thủ của doanh nghiệp (quản lý chất lượng, nhãn/bao bì, truy xuất)</w:t>
            </w:r>
          </w:p>
        </w:tc>
        <w:tc>
          <w:tcPr>
            <w:tcW w:w="4252" w:type="dxa"/>
          </w:tcPr>
          <w:p w14:paraId="65B2ECE8"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Có thể tăng nhưng không phải do quy định mới, vì đây là chi phí tất yếu và đã tồn tại theo Nghị định số 98/2020/NĐ-CP; mặt khác thị trường minh bạch hơn làm giảm “chi phí cạnh tranh không lành mạnh”</w:t>
            </w:r>
          </w:p>
        </w:tc>
        <w:tc>
          <w:tcPr>
            <w:tcW w:w="4536" w:type="dxa"/>
          </w:tcPr>
          <w:p w14:paraId="1C376570"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do hệ thống phân tuyến rõ có thể giảm “rủi ro pháp lý kép” (một lỗi nhãn bị quy thành hàng giả), giảm tranh chấp định danh</w:t>
            </w:r>
          </w:p>
        </w:tc>
      </w:tr>
      <w:tr w:rsidR="00F76D23" w:rsidRPr="00ED5E38" w14:paraId="772C9E93" w14:textId="77777777" w:rsidTr="00F76D23">
        <w:tc>
          <w:tcPr>
            <w:tcW w:w="1985" w:type="dxa"/>
          </w:tcPr>
          <w:p w14:paraId="3E7CA7B4"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8. Chi phí tự bảo vệ thị trường của doanh nghiệp (giám sát, thu thập chứng cứ, khiếu nại/khởi kiện)</w:t>
            </w:r>
          </w:p>
        </w:tc>
        <w:tc>
          <w:tcPr>
            <w:tcW w:w="4252" w:type="dxa"/>
          </w:tcPr>
          <w:p w14:paraId="4F3A84D3"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do cơ quan thực thi có thể xử lý nhanh theo trục hàng giả khi gặp giả nhãn, bao bì, tem</w:t>
            </w:r>
          </w:p>
        </w:tc>
        <w:tc>
          <w:tcPr>
            <w:tcW w:w="4536" w:type="dxa"/>
          </w:tcPr>
          <w:p w14:paraId="130663B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nếu xảy ra bỏ lọt giả hình thức, tem, nhãn, bao bì: doanh nghiệp phải tự tăng chi phí giám sát, thu thập chứng cứ, theo đuổi nhiều cơ chế khác nhau</w:t>
            </w:r>
          </w:p>
        </w:tc>
      </w:tr>
      <w:tr w:rsidR="00F76D23" w:rsidRPr="00ED5E38" w14:paraId="56E25999" w14:textId="77777777" w:rsidTr="00F76D23">
        <w:tc>
          <w:tcPr>
            <w:tcW w:w="1985" w:type="dxa"/>
          </w:tcPr>
          <w:p w14:paraId="05CC5C9A"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9. Chi phí xã hội của người tiêu dùng (đổi trả, khiếu nại, thiệt hại do mua nhầm)</w:t>
            </w:r>
          </w:p>
        </w:tc>
        <w:tc>
          <w:tcPr>
            <w:tcW w:w="4252" w:type="dxa"/>
          </w:tcPr>
          <w:p w14:paraId="0C092257"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do bao trùm giả hình thức hoặc tem nhãn giúp chặn sớm nhóm hành vi phổ biến, giảm mua nhầm, giảm chi phí đổi trả</w:t>
            </w:r>
          </w:p>
        </w:tc>
        <w:tc>
          <w:tcPr>
            <w:tcW w:w="4536" w:type="dxa"/>
          </w:tcPr>
          <w:p w14:paraId="55772564"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nếu giả hình thức và tem nhãn bị bỏ lọt hoặc xử lý chậm: người tiêu dùng khó phân biệt, dễ mua nhầm, chi phí đổi trả,khiếu nại tăng</w:t>
            </w:r>
          </w:p>
        </w:tc>
      </w:tr>
      <w:tr w:rsidR="00F76D23" w:rsidRPr="00ED5E38" w14:paraId="7B21AA93" w14:textId="77777777" w:rsidTr="00F76D23">
        <w:tc>
          <w:tcPr>
            <w:tcW w:w="1985" w:type="dxa"/>
          </w:tcPr>
          <w:p w14:paraId="44942E7B"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10. Chi phí rủi ro bỏ lọt hành vi (đặc biệt giả nhãn/bao bì/tem; giả mạo xuất xứ)</w:t>
            </w:r>
          </w:p>
        </w:tc>
        <w:tc>
          <w:tcPr>
            <w:tcW w:w="4252" w:type="dxa"/>
          </w:tcPr>
          <w:p w14:paraId="03C7EDBE"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vì coi nhóm hành vi này là “hàng giả” trong Luật Thương mại sẽ định danh mạnh, xử lý nhanh, tăng răn đe</w:t>
            </w:r>
          </w:p>
        </w:tc>
        <w:tc>
          <w:tcPr>
            <w:tcW w:w="4536" w:type="dxa"/>
          </w:tcPr>
          <w:p w14:paraId="27F84953"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Tăng nếu thiếu sửa đổi đồng bộ pháp luật nhãn/xuất xứ/truy xuất và cơ chế phối hợp, có nguy cơ “khoảng trống” hoặc xử lý không tương xứng</w:t>
            </w:r>
          </w:p>
        </w:tc>
      </w:tr>
      <w:tr w:rsidR="00F76D23" w:rsidRPr="00ED5E38" w14:paraId="5A9DA0BB" w14:textId="77777777" w:rsidTr="00F76D23">
        <w:tc>
          <w:tcPr>
            <w:tcW w:w="1985" w:type="dxa"/>
          </w:tcPr>
          <w:p w14:paraId="5599B6CC"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11. Chi phí cơ hội (do xử lý chậm khiến hàng giả lan rộng)</w:t>
            </w:r>
          </w:p>
        </w:tc>
        <w:tc>
          <w:tcPr>
            <w:tcW w:w="4252" w:type="dxa"/>
          </w:tcPr>
          <w:p w14:paraId="05069172"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Giảm nhờ khả năng chặn sớm theo dấu hiệu hình thức hoặc tem, nhãn</w:t>
            </w:r>
          </w:p>
        </w:tc>
        <w:tc>
          <w:tcPr>
            <w:tcW w:w="4536" w:type="dxa"/>
          </w:tcPr>
          <w:p w14:paraId="68067404" w14:textId="77777777" w:rsidR="00F76D23" w:rsidRPr="00ED5E38" w:rsidRDefault="00F76D23" w:rsidP="00F76D23">
            <w:pPr>
              <w:spacing w:before="60" w:after="60"/>
              <w:jc w:val="both"/>
              <w:rPr>
                <w:noProof/>
                <w:color w:val="000000" w:themeColor="text1"/>
                <w:sz w:val="26"/>
                <w:szCs w:val="26"/>
                <w:lang w:val="vi-VN"/>
              </w:rPr>
            </w:pPr>
            <w:r w:rsidRPr="00ED5E38">
              <w:rPr>
                <w:noProof/>
                <w:color w:val="000000" w:themeColor="text1"/>
                <w:sz w:val="26"/>
                <w:szCs w:val="26"/>
                <w:lang w:val="vi-VN"/>
              </w:rPr>
              <w:t xml:space="preserve">Tăng nếu phải chờ đủ kết luận giả về chất lượng </w:t>
            </w:r>
          </w:p>
        </w:tc>
      </w:tr>
    </w:tbl>
    <w:p w14:paraId="72DFD3FB" w14:textId="014A66E5" w:rsidR="00F76D23" w:rsidRPr="00ED5E38" w:rsidRDefault="00F76D23" w:rsidP="006400D7">
      <w:pPr>
        <w:pStyle w:val="Heading1"/>
      </w:pPr>
      <w:r w:rsidRPr="00ED5E38">
        <w:lastRenderedPageBreak/>
        <w:t>2.1.1.2. Giải pháp tối ưu được lựa chọn và lý do lựa chọn giải pháp</w:t>
      </w:r>
    </w:p>
    <w:p w14:paraId="655A4D68" w14:textId="09B61330" w:rsidR="00ED5C78" w:rsidRPr="00ED5E38" w:rsidRDefault="00F76D23"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Bộ Công Thương kiến nghị lựa chọn </w:t>
      </w:r>
      <w:r w:rsidRPr="00ED5E38">
        <w:rPr>
          <w:b/>
          <w:bCs/>
          <w:noProof/>
          <w:color w:val="000000" w:themeColor="text1"/>
          <w:sz w:val="26"/>
          <w:szCs w:val="26"/>
          <w:lang w:val="vi-VN"/>
        </w:rPr>
        <w:t>“</w:t>
      </w:r>
      <w:r w:rsidRPr="00ED5E38">
        <w:rPr>
          <w:b/>
          <w:bCs/>
          <w:i/>
          <w:iCs/>
          <w:noProof/>
          <w:color w:val="000000" w:themeColor="text1"/>
          <w:sz w:val="26"/>
          <w:szCs w:val="26"/>
          <w:lang w:val="vi-VN"/>
        </w:rPr>
        <w:t>Giải pháp 1:</w:t>
      </w:r>
      <w:r w:rsidRPr="00ED5E38">
        <w:rPr>
          <w:i/>
          <w:iCs/>
          <w:noProof/>
          <w:color w:val="000000" w:themeColor="text1"/>
          <w:sz w:val="26"/>
          <w:szCs w:val="26"/>
          <w:lang w:val="vi-VN"/>
        </w:rPr>
        <w:t xml:space="preserve"> </w:t>
      </w:r>
      <w:r w:rsidRPr="00ED5E38">
        <w:rPr>
          <w:b/>
          <w:bCs/>
          <w:i/>
          <w:iCs/>
          <w:noProof/>
          <w:color w:val="000000" w:themeColor="text1"/>
          <w:sz w:val="26"/>
          <w:szCs w:val="26"/>
          <w:lang w:val="vi-VN"/>
        </w:rPr>
        <w:t>Quy định khái niệm “hàng giả” trong Luật Thương mại theo hướng bao gồm giả về nội dung, giả về hình thức và tem, nhãn, bao bì hàng hóa giả”</w:t>
      </w:r>
      <w:r w:rsidRPr="00ED5E38">
        <w:rPr>
          <w:noProof/>
          <w:color w:val="000000" w:themeColor="text1"/>
          <w:sz w:val="26"/>
          <w:szCs w:val="26"/>
          <w:lang w:val="vi-VN"/>
        </w:rPr>
        <w:t xml:space="preserve"> để bao trùm đầy đủ các phương thức làm giả phổ biến (giả nội dung, giả hình thức, giả nhãn/bao bì, giả mạo nguồn gốc, xuất xứ) và phù hợp với vị trí của Luật Thương mại trong việc điều chỉnh hoạt động thương mại nói chung và hoạt động lưu thông hàng hóa nói riêng. Việc luật hóa khái niệm theo hướng rộng giúp tăng hiệu lực pháp lý, tạo chuẩn thống nhất và giảm nguy cơ bỏ lọt hành vi trong điều kiện thủ đoạn làm giả ngày càng tinh vi cũng như sự phát triển của thương mại điện tử, tạo cơ sở pháp lý rõ ràng cho lực lượng quản lý thị trường và các cơ quan thực thi khi ngăn chặn, thu giữ, xử lý. </w:t>
      </w:r>
    </w:p>
    <w:p w14:paraId="54586912" w14:textId="54871BC6" w:rsidR="001051F5" w:rsidRPr="00ED5E38" w:rsidRDefault="001051F5" w:rsidP="006400D7">
      <w:pPr>
        <w:pStyle w:val="Heading1"/>
      </w:pPr>
      <w:r w:rsidRPr="00ED5E38">
        <w:t xml:space="preserve">2.1.2. </w:t>
      </w:r>
      <w:r w:rsidR="00826590" w:rsidRPr="00ED5E38">
        <w:t xml:space="preserve">Vấn đề 2: </w:t>
      </w:r>
      <w:r w:rsidRPr="00ED5E38">
        <w:t>Bãi bỏ và sửa đổi một số quy định của Luật Thương mại nhằm bảo đảm thống nhất pháp luật và thúc đẩy môi trường kinh doanh</w:t>
      </w:r>
    </w:p>
    <w:p w14:paraId="0100A2E6" w14:textId="77777777" w:rsidR="00537DD6" w:rsidRPr="00ED5E38" w:rsidRDefault="001051F5" w:rsidP="006400D7">
      <w:pPr>
        <w:pStyle w:val="Heading1"/>
      </w:pPr>
      <w:r w:rsidRPr="00ED5E38">
        <w:t>2.1.2.1. Đánh giá tác động</w:t>
      </w:r>
    </w:p>
    <w:p w14:paraId="6E7B8198" w14:textId="40ED7880" w:rsidR="00537DD6" w:rsidRPr="00ED5E38" w:rsidRDefault="00537DD6" w:rsidP="0027142B">
      <w:pPr>
        <w:pStyle w:val="Heading2"/>
      </w:pPr>
      <w:r w:rsidRPr="00ED5E38">
        <w:t>a) Giải pháp 1: Bãi bỏ quy định về hàng hóa, dịch vụ cấm kinh doanh, hạn chế kinh doanh và kinh doanh có điều kiện; Bãi bỏ điều kiện kinh doanh dịch vụ giám định thương mại; Sửa đổi quy định về độc quyền nhà nước; Bãi bỏ nội dung về hợp đồng và giải quyết tranh chấp tại Luật Thương mại</w:t>
      </w:r>
      <w:r w:rsidR="003E3830" w:rsidRPr="00ED5E38">
        <w:t>.</w:t>
      </w:r>
    </w:p>
    <w:p w14:paraId="1327A390" w14:textId="076D16A2" w:rsidR="00537DD6" w:rsidRPr="00ED5E38" w:rsidRDefault="00E13FB9" w:rsidP="00E13FB9">
      <w:pPr>
        <w:spacing w:before="120" w:after="120" w:line="340" w:lineRule="exact"/>
        <w:ind w:firstLine="709"/>
        <w:jc w:val="both"/>
        <w:rPr>
          <w:b/>
          <w:bCs/>
          <w:i/>
          <w:noProof/>
          <w:color w:val="000000" w:themeColor="text1"/>
          <w:sz w:val="26"/>
          <w:szCs w:val="26"/>
          <w:lang w:val="vi-VN"/>
        </w:rPr>
      </w:pPr>
      <w:r w:rsidRPr="00E13FB9">
        <w:rPr>
          <w:b/>
          <w:bCs/>
          <w:i/>
          <w:noProof/>
          <w:color w:val="000000" w:themeColor="text1"/>
          <w:sz w:val="26"/>
          <w:szCs w:val="26"/>
          <w:lang w:val="vi-VN"/>
        </w:rPr>
        <w:t>-</w:t>
      </w:r>
      <w:r w:rsidR="00537DD6" w:rsidRPr="00ED5E38">
        <w:rPr>
          <w:b/>
          <w:bCs/>
          <w:i/>
          <w:noProof/>
          <w:color w:val="000000" w:themeColor="text1"/>
          <w:sz w:val="26"/>
          <w:szCs w:val="26"/>
          <w:lang w:val="vi-VN"/>
        </w:rPr>
        <w:t xml:space="preserve"> Tác động đối với hệ thống pháp luật:</w:t>
      </w:r>
    </w:p>
    <w:p w14:paraId="72BA866E"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Về việc bãi bỏ quy định về hàng hóa, dịch vụ cấm kinh doanh, hạn chế kinh doanh và kinh doanh có điều kiện:</w:t>
      </w:r>
    </w:p>
    <w:p w14:paraId="78C40FDC"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Điều 25 Luật Thương mại quy định về Hàng hoá cấm kinh doanh, hàng hoá hạn chế kinh doanh, hàng hóa kinh doanh có điều kiện; Điều 76 Luật Thương mại quy định về Dịch vụ cấm kinh doanh, dịch vụ hạn chế kinh doanh và dịch vụ kinh doanh có điều kiện.  Quy định tại Luật Thương mai trao quyền cho Chính phủ quy định về Danh mục hàng hóa, dịch vụ cấm kinh doanh, hạn chế kinh doanh, kinh doanh có điều kiện và điều kiện để được kinh doanh hàng hóa, dịch vụ đó. </w:t>
      </w:r>
    </w:p>
    <w:p w14:paraId="2B162C2C" w14:textId="3BE67857" w:rsidR="00E36397" w:rsidRPr="00ED5E38" w:rsidRDefault="00E36397" w:rsidP="00E13FB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hiến:</w:t>
      </w:r>
    </w:p>
    <w:p w14:paraId="14A16C53"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Khoản 2 Điều 14 Hiến pháp 2013 quy định: “</w:t>
      </w:r>
      <w:r w:rsidRPr="00ED5E38">
        <w:rPr>
          <w:i/>
          <w:iCs/>
          <w:noProof/>
          <w:color w:val="000000" w:themeColor="text1"/>
          <w:sz w:val="26"/>
          <w:szCs w:val="26"/>
          <w:lang w:val="vi-VN"/>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r w:rsidRPr="00ED5E38">
        <w:rPr>
          <w:iCs/>
          <w:noProof/>
          <w:color w:val="000000" w:themeColor="text1"/>
          <w:sz w:val="26"/>
          <w:szCs w:val="26"/>
          <w:lang w:val="vi-VN"/>
        </w:rPr>
        <w:t>”, khoản 2 Điều 2 Bộ luật dân sự 2015 quy định “</w:t>
      </w:r>
      <w:r w:rsidRPr="00ED5E38">
        <w:rPr>
          <w:i/>
          <w:iCs/>
          <w:noProof/>
          <w:color w:val="000000" w:themeColor="text1"/>
          <w:sz w:val="26"/>
          <w:szCs w:val="26"/>
          <w:lang w:val="vi-VN"/>
        </w:rPr>
        <w:t>Quyền dân sự chỉ có thể bị hạn chế theo quy định của luật trong trường hợp cần thiết vì lý do quốc phòng, an ninh quốc gia, trật tự, an toàn xã hội, đạo đức xã hội, sức khỏe của cộng đồng</w:t>
      </w:r>
      <w:r w:rsidRPr="00ED5E38">
        <w:rPr>
          <w:iCs/>
          <w:noProof/>
          <w:color w:val="000000" w:themeColor="text1"/>
          <w:sz w:val="26"/>
          <w:szCs w:val="26"/>
          <w:lang w:val="vi-VN"/>
        </w:rPr>
        <w:t>”. Theo các quy định này, quy định liên quan đến hạn chế quyền của công dân đều phải được quy định tại văn bản cấp luật. Luật Thương mại 2005 giao thẩm quyền Chính phủ quy định “</w:t>
      </w:r>
      <w:r w:rsidRPr="00ED5E38">
        <w:rPr>
          <w:i/>
          <w:iCs/>
          <w:noProof/>
          <w:color w:val="000000" w:themeColor="text1"/>
          <w:sz w:val="26"/>
          <w:szCs w:val="26"/>
          <w:lang w:val="vi-VN"/>
        </w:rPr>
        <w:t>Danh mục hàng hóa, dịch vụ cấm kinh doanh, hạn chế kinh doanh, kinh doanh có điều kiện và điều kiện để được kinh doanh hàng hóa, dịch vụ đó</w:t>
      </w:r>
      <w:r w:rsidRPr="00ED5E38">
        <w:rPr>
          <w:iCs/>
          <w:noProof/>
          <w:color w:val="000000" w:themeColor="text1"/>
          <w:sz w:val="26"/>
          <w:szCs w:val="26"/>
          <w:lang w:val="vi-VN"/>
        </w:rPr>
        <w:t xml:space="preserve">” là chưa phù hợp về mặt thẩm quyền ban hành theo quy định tại Hiến pháp 2013, Bộ luật dân sự 2015. Luật Thương mại 2005 ban hành trước Hiến pháp 2013 và Bộ luật dân sự 2015. </w:t>
      </w:r>
    </w:p>
    <w:p w14:paraId="0FC57A4E"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lastRenderedPageBreak/>
        <w:t>Theo quy định tại khoản 1 Điều 119 Hiến pháp 2013, khoản 4 Điều 58 Luật Ban hành văn bản quy phạm pháp luật 2025, quy định về thẩm quyền quy định về hạn chế quyền của công dân sẽ áp dụng theo quy định tại Hiến pháp 2013, Bộ luật dân sự 2015. Nha vậy, bãi bỏ quy định về hàng hóa, dịch vụ cấm kinh doanh, hạn chế kinh doanh và kinh doanh có điều kiện phù hợp tính hợp hiến, hợp pháp.</w:t>
      </w:r>
    </w:p>
    <w:p w14:paraId="321E85E3" w14:textId="06D6C7E2" w:rsidR="00E36397" w:rsidRPr="00ED5E38" w:rsidRDefault="00E36397"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hợp pháp, tính thống nhất của chính sách với hệ thống pháp luật</w:t>
      </w:r>
    </w:p>
    <w:p w14:paraId="25F1C71F"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Luật Đầu tư 2025 quy định Danh mục ngành nghề cấm đầu tư kinh doanh, kinh doanh có điều kiện, trong đó xác định điều kiện để được kinh doanh các ngành nghề trong Danh mục được áp dụng trên “chủ thể kinh doanh”. Tính chất của hai Danh mục hàng hóa, dịch vụ cấm kinh doanh, hạn chế kinh doanh, kinh doanh có điều kiện theo quy định tại Luật Thương mại 2005 và Luật Đầu tư 2025 là giống nhau, đều ràng buộc điều kiện đối với chủ thể kinh doanh. Theo quy định tại khoản 2 Điều 4 Luật Đầu tư 2025 “</w:t>
      </w:r>
      <w:r w:rsidRPr="00ED5E38">
        <w:rPr>
          <w:i/>
          <w:iCs/>
          <w:noProof/>
          <w:color w:val="000000" w:themeColor="text1"/>
          <w:sz w:val="26"/>
          <w:szCs w:val="26"/>
          <w:lang w:val="vi-VN"/>
        </w:rPr>
        <w:t>Trường hợp có quy định khác nhau giữa Luật Đầu tư và luật khác đã được ban hành trước ngày Luật Đầu tư có hiệu lực thi hành về ngành, nghề cấm đầu tư kinh doanh hoặc ngành, nghề đầu tư kinh doanh có điều kiện thì thực hiện theo quy định của Luật Đầu tư.</w:t>
      </w:r>
      <w:r w:rsidRPr="00ED5E38">
        <w:rPr>
          <w:iCs/>
          <w:noProof/>
          <w:color w:val="000000" w:themeColor="text1"/>
          <w:sz w:val="26"/>
          <w:szCs w:val="26"/>
          <w:lang w:val="vi-VN"/>
        </w:rPr>
        <w:t xml:space="preserve">” Như vậy, các quy định về ngành, nghề cấm kinh doanh, kinh doanh có điều kiện sẽ áp dụng theo quy định tại Luật Đầu tư 2025. Do đó, việc bãi bỏ quy định về hàng hóa, dịch vụ cấm kinh doanh, hạn chế kinh doanh và kinh doanh có điều kiện tại Luật Thương mại đảm bảo tính thống nhất với quy định tại Luật Đầu tư 2025. </w:t>
      </w:r>
    </w:p>
    <w:p w14:paraId="797431D1" w14:textId="77777777" w:rsidR="00E36397" w:rsidRPr="00ED5E38" w:rsidRDefault="00E36397" w:rsidP="00E13FB9">
      <w:pPr>
        <w:tabs>
          <w:tab w:val="right" w:leader="dot" w:pos="7920"/>
        </w:tabs>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 xml:space="preserve">+ </w:t>
      </w:r>
      <w:r w:rsidRPr="00ED5E38">
        <w:rPr>
          <w:noProof/>
          <w:color w:val="000000" w:themeColor="text1"/>
          <w:sz w:val="26"/>
          <w:szCs w:val="26"/>
          <w:lang w:val="vi-VN"/>
        </w:rPr>
        <w:t>Về sự cần thiết phải ban hành mới, sửa đổi, bổ sung, thay thế hoặc bãi bỏ văn bản quy phạm pháp luật</w:t>
      </w:r>
    </w:p>
    <w:p w14:paraId="79A818D5" w14:textId="77777777" w:rsidR="00E36397" w:rsidRPr="00ED5E38" w:rsidRDefault="00E36397"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Bãi bỏ quy định về hàng hóa, dịch vụ cấm kinh doanh, hạn chế kinh doanh và kinh doanh có điều kiện cần phải bãi bỏ toàn bộ Nghị định số 59/2006/NĐ-CP của Chính phủ quy định chi tiết Luật Thương mại về hàng hóa, dịch vụ cấm kinh doanh, hạn chế kinh doanh và kinh doanh có điều kiện. Hiện tại, theo Nghị định số 59/2006/NĐ-CP vẫn còn quy định một số mặt hàng thuộc danh mục cấm kinh doanh, bao gồm còn “Khoáng sản đặc biệt, độc hại; các loại  thiết bị y tế chưa được phép sử dụng tại Việt Nam; các loại thuốc chữa bệnh cho người, các loại vắc xin, sinh phẩm y tế, mỹ phẩm, hóa chất và chế phẩm diệt côn trùng, diệt khuẩn trong lĩnh vực gia dụng và y tế chưa được phép sử dụng tại Việt Nam thuộc danh mục hàng hoá cấm kinh doanh”.</w:t>
      </w:r>
    </w:p>
    <w:p w14:paraId="40CD9199" w14:textId="77777777" w:rsidR="00E36397" w:rsidRPr="00ED5E38" w:rsidRDefault="00E36397"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 Đối với hàng hoá “Khoáng sản đặc biệt, độc hại” hiện nay Luật Địa chất và Khoáng sản 2024 không còn khái niệm “khoáng sản đặc biêt”, bên cạnh đó Phụ lục II Luật Đầu tư năm 2025 đã quy định danh mục hoá chất, khoáng vật cấm. Do đó khi bãi bỏ Nghị định số 59/2006/NĐ-CP sẽ đảm bảo sự thống nhất, tránh chống chéo.</w:t>
      </w:r>
    </w:p>
    <w:p w14:paraId="29577BEA" w14:textId="77777777" w:rsidR="00E36397" w:rsidRPr="00ED5E38" w:rsidRDefault="00E36397"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Đối với hai nhóm hàng hóa thuộc phạm vi quản lý của Bộ Y tế (bao gồm các loại  thiết bị y tế chưa được phép sử dụng tại Việt Nam; các loại thuốc chữa bệnh cho người, các loại vắc xin, sinh phẩm y tế, mỹ phẩm, hóa chất và chế phẩm diệt côn trùng, diệt khuẩn trong lĩnh vực gia dụng và y tế chưa được phép sử dụng tại Việt Nam thuộc danh mục hàng hoá cấm kinh doanh), Bộ Y tế cần rà soát, đánh giá toàn diện và điều chỉnh </w:t>
      </w:r>
      <w:r w:rsidRPr="00ED5E38">
        <w:rPr>
          <w:iCs/>
          <w:noProof/>
          <w:color w:val="000000" w:themeColor="text1"/>
          <w:sz w:val="26"/>
          <w:szCs w:val="26"/>
          <w:lang w:val="vi-VN"/>
        </w:rPr>
        <w:lastRenderedPageBreak/>
        <w:t>quy định theo hướng đưa nội dung sản phảm, hàng hoá cấm kinh doanh vào Luật chuyên ngành tương ứng.</w:t>
      </w:r>
    </w:p>
    <w:p w14:paraId="4B9069EE"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Về việc bãi bỏ điều kiện kinh doanh dịch vụ giám định thương mại:</w:t>
      </w:r>
    </w:p>
    <w:p w14:paraId="7E3CA780" w14:textId="77777777" w:rsidR="00537DD6" w:rsidRPr="00ED5E38" w:rsidRDefault="00537DD6" w:rsidP="00E13FB9">
      <w:pPr>
        <w:tabs>
          <w:tab w:val="left" w:pos="426"/>
        </w:tabs>
        <w:spacing w:before="120" w:after="120" w:line="340" w:lineRule="exact"/>
        <w:ind w:firstLine="709"/>
        <w:jc w:val="both"/>
        <w:rPr>
          <w:iCs/>
          <w:noProof/>
          <w:color w:val="000000" w:themeColor="text1"/>
          <w:sz w:val="26"/>
          <w:szCs w:val="26"/>
          <w:lang w:val="vi-VN"/>
        </w:rPr>
      </w:pPr>
      <w:r w:rsidRPr="00ED5E38">
        <w:rPr>
          <w:bCs/>
          <w:iCs/>
          <w:noProof/>
          <w:color w:val="000000" w:themeColor="text1"/>
          <w:sz w:val="26"/>
          <w:szCs w:val="26"/>
          <w:lang w:val="vi-VN"/>
        </w:rPr>
        <w:t>+ Về tính hợp hiến: Chính sách hoàn toàn phù hợp với Điều 33 Hiến pháp 2013 về quyền tự do kinh doanh</w:t>
      </w:r>
    </w:p>
    <w:p w14:paraId="77F2C3BF" w14:textId="77777777" w:rsidR="00537DD6" w:rsidRPr="00ED5E38" w:rsidRDefault="00537DD6" w:rsidP="00E13FB9">
      <w:pPr>
        <w:tabs>
          <w:tab w:val="left" w:pos="426"/>
        </w:tabs>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 xml:space="preserve">+ Về tính </w:t>
      </w:r>
      <w:r w:rsidRPr="00ED5E38">
        <w:rPr>
          <w:noProof/>
          <w:color w:val="000000" w:themeColor="text1"/>
          <w:sz w:val="26"/>
          <w:szCs w:val="26"/>
          <w:lang w:val="vi-VN"/>
        </w:rPr>
        <w:t>hợp pháp, tính thống nhất của chính sách với hệ thống pháp luật:</w:t>
      </w:r>
    </w:p>
    <w:p w14:paraId="3C388A29" w14:textId="77777777" w:rsidR="00AE09E6" w:rsidRPr="00ED5E38" w:rsidRDefault="00AE09E6" w:rsidP="00E13FB9">
      <w:pPr>
        <w:pStyle w:val="FirstParagraph"/>
        <w:spacing w:before="120" w:after="120" w:line="340" w:lineRule="exact"/>
        <w:ind w:firstLine="709"/>
        <w:rPr>
          <w:rFonts w:ascii="Times New Roman" w:hAnsi="Times New Roman" w:cs="Times New Roman"/>
          <w:noProof/>
          <w:color w:val="000000" w:themeColor="text1"/>
          <w:sz w:val="26"/>
          <w:szCs w:val="26"/>
          <w:lang w:val="vi-VN"/>
        </w:rPr>
      </w:pPr>
      <w:r w:rsidRPr="00ED5E38">
        <w:rPr>
          <w:rFonts w:ascii="Times New Roman" w:hAnsi="Times New Roman" w:cs="Times New Roman"/>
          <w:noProof/>
          <w:color w:val="000000" w:themeColor="text1"/>
          <w:sz w:val="26"/>
          <w:szCs w:val="26"/>
          <w:lang w:val="vi-VN"/>
        </w:rPr>
        <w:t>Luật Thương mại năm 2005 dành Chương VIII (từ Điều 254 đến Điều 268) để điều chỉnh dịch vụ giám định thương mại. Luật xác định giám định thương mại là một loại hình dịch vụ thương mại, được thực hiện trên cơ sở hợp đồng giữa thương nhân giám định và khách hàng.</w:t>
      </w:r>
    </w:p>
    <w:p w14:paraId="60191711" w14:textId="77777777" w:rsidR="00AE09E6" w:rsidRPr="00ED5E38" w:rsidRDefault="00AE09E6" w:rsidP="00E13FB9">
      <w:pPr>
        <w:pStyle w:val="BodyText"/>
        <w:spacing w:before="120" w:after="120" w:line="340" w:lineRule="exact"/>
        <w:ind w:firstLine="709"/>
        <w:rPr>
          <w:rFonts w:ascii="Times New Roman" w:hAnsi="Times New Roman"/>
          <w:i w:val="0"/>
          <w:iCs w:val="0"/>
          <w:noProof/>
          <w:color w:val="000000" w:themeColor="text1"/>
          <w:sz w:val="26"/>
          <w:szCs w:val="26"/>
          <w:lang w:val="vi-VN"/>
        </w:rPr>
      </w:pPr>
      <w:r w:rsidRPr="00ED5E38">
        <w:rPr>
          <w:rFonts w:ascii="Times New Roman" w:hAnsi="Times New Roman"/>
          <w:i w:val="0"/>
          <w:iCs w:val="0"/>
          <w:noProof/>
          <w:color w:val="000000" w:themeColor="text1"/>
          <w:sz w:val="26"/>
          <w:szCs w:val="26"/>
          <w:lang w:val="vi-VN"/>
        </w:rPr>
        <w:t xml:space="preserve">Luật Thương mại hiện hành đồng thời thiết lập một số quy định về điều kiện kinh doanh, thể hiện tại các nội dung sau: </w:t>
      </w:r>
    </w:p>
    <w:p w14:paraId="3D96CEA7" w14:textId="77777777" w:rsidR="00AE09E6" w:rsidRPr="00ED5E38" w:rsidRDefault="00AE09E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Theo Điều 256 Luật Thương mại “Chỉ các thương nhân có đủ điều kiện theo quy định của pháp luật và được cấp giấy chứng nhận đăng ký kinh doanh dịch vụ giám định thương mại mới được phép thực hiện dịch vụ giám định và cấp chứng thư giám định.”</w:t>
      </w:r>
    </w:p>
    <w:p w14:paraId="5D82B096" w14:textId="77777777" w:rsidR="00AE09E6" w:rsidRPr="00ED5E38" w:rsidRDefault="00AE09E6" w:rsidP="00E13FB9">
      <w:pPr>
        <w:spacing w:before="120" w:after="120" w:line="340" w:lineRule="exact"/>
        <w:ind w:firstLine="709"/>
        <w:jc w:val="both"/>
        <w:rPr>
          <w:noProof/>
          <w:color w:val="000000" w:themeColor="text1"/>
          <w:sz w:val="26"/>
          <w:szCs w:val="26"/>
          <w:lang w:val="vi-VN"/>
        </w:rPr>
      </w:pPr>
      <w:bookmarkStart w:id="24" w:name="dieu_257"/>
      <w:r w:rsidRPr="00ED5E38">
        <w:rPr>
          <w:noProof/>
          <w:color w:val="000000" w:themeColor="text1"/>
          <w:sz w:val="26"/>
          <w:szCs w:val="26"/>
          <w:lang w:val="vi-VN"/>
        </w:rPr>
        <w:t>Điều 257. Điều kiện kinh doanh dịch vụ giám định thương mại</w:t>
      </w:r>
      <w:bookmarkEnd w:id="24"/>
    </w:p>
    <w:p w14:paraId="79BD551D" w14:textId="78777FEF" w:rsidR="00AE09E6" w:rsidRPr="00ED5E38" w:rsidRDefault="00BE5E25"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w:t>
      </w:r>
      <w:r w:rsidR="00AE09E6" w:rsidRPr="00ED5E38">
        <w:rPr>
          <w:noProof/>
          <w:color w:val="000000" w:themeColor="text1"/>
          <w:sz w:val="26"/>
          <w:szCs w:val="26"/>
          <w:lang w:val="vi-VN"/>
        </w:rPr>
        <w:t>Thương nhân kinh doanh dịch vụ giám định thương mại phải có đủ các điều kiện sau đây:</w:t>
      </w:r>
    </w:p>
    <w:p w14:paraId="6F772594" w14:textId="77777777" w:rsidR="00AE09E6" w:rsidRPr="00ED5E38" w:rsidRDefault="00AE09E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1. Là doanh nghiệp được thành lập theo quy định của pháp luật;</w:t>
      </w:r>
    </w:p>
    <w:p w14:paraId="48E99C1F" w14:textId="77777777" w:rsidR="00AE09E6" w:rsidRPr="00ED5E38" w:rsidRDefault="00AE09E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2. Có giám định viên đủ tiêu chuẩn theo quy định tại </w:t>
      </w:r>
      <w:bookmarkStart w:id="25" w:name="tc_40"/>
      <w:r w:rsidRPr="00ED5E38">
        <w:rPr>
          <w:noProof/>
          <w:color w:val="000000" w:themeColor="text1"/>
          <w:sz w:val="26"/>
          <w:szCs w:val="26"/>
          <w:lang w:val="vi-VN"/>
        </w:rPr>
        <w:t>Điều 259 của Luật này</w:t>
      </w:r>
      <w:bookmarkEnd w:id="25"/>
      <w:r w:rsidRPr="00ED5E38">
        <w:rPr>
          <w:noProof/>
          <w:color w:val="000000" w:themeColor="text1"/>
          <w:sz w:val="26"/>
          <w:szCs w:val="26"/>
          <w:lang w:val="vi-VN"/>
        </w:rPr>
        <w:t>;</w:t>
      </w:r>
    </w:p>
    <w:p w14:paraId="451726C1" w14:textId="644373F6" w:rsidR="00AE09E6" w:rsidRPr="00ED5E38" w:rsidRDefault="00AE09E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3. Có khả năng thực hiện quy trình, phương pháp giám định hàng hóa, dịch vụ theo quy định của pháp luật, tiêu chuẩn quốc tế hoặc đã được các nước áp dụng một cách phổ biến trong giám định hàng hóa, dịch vụ đó.</w:t>
      </w:r>
      <w:r w:rsidR="00BE5E25" w:rsidRPr="00ED5E38">
        <w:rPr>
          <w:noProof/>
          <w:color w:val="000000" w:themeColor="text1"/>
          <w:sz w:val="26"/>
          <w:szCs w:val="26"/>
          <w:lang w:val="vi-VN"/>
        </w:rPr>
        <w:t>”</w:t>
      </w:r>
    </w:p>
    <w:p w14:paraId="08C05A0E" w14:textId="5CC0FA7B" w:rsidR="00AE09E6" w:rsidRPr="00ED5E38" w:rsidRDefault="00AE09E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Về điều kiện mang tính thủ tục được quy định tại khoản 2</w:t>
      </w:r>
      <w:bookmarkStart w:id="26" w:name="dieu_260"/>
      <w:r w:rsidRPr="00ED5E38">
        <w:rPr>
          <w:noProof/>
          <w:color w:val="000000" w:themeColor="text1"/>
          <w:sz w:val="26"/>
          <w:szCs w:val="26"/>
          <w:lang w:val="vi-VN"/>
        </w:rPr>
        <w:t xml:space="preserve"> </w:t>
      </w:r>
      <w:r w:rsidRPr="00ED5E38">
        <w:rPr>
          <w:b/>
          <w:bCs/>
          <w:noProof/>
          <w:color w:val="000000" w:themeColor="text1"/>
          <w:sz w:val="26"/>
          <w:szCs w:val="26"/>
          <w:lang w:val="vi-VN"/>
        </w:rPr>
        <w:t>Điều 260 về Chứng thư giám định</w:t>
      </w:r>
      <w:bookmarkEnd w:id="26"/>
      <w:r w:rsidRPr="00ED5E38">
        <w:rPr>
          <w:noProof/>
          <w:color w:val="000000" w:themeColor="text1"/>
          <w:sz w:val="26"/>
          <w:szCs w:val="26"/>
          <w:lang w:val="vi-VN"/>
        </w:rPr>
        <w:t xml:space="preserve"> theo đó </w:t>
      </w:r>
      <w:r w:rsidRPr="00ED5E38">
        <w:rPr>
          <w:i/>
          <w:iCs/>
          <w:noProof/>
          <w:color w:val="000000" w:themeColor="text1"/>
          <w:sz w:val="26"/>
          <w:szCs w:val="26"/>
          <w:lang w:val="vi-VN"/>
        </w:rPr>
        <w:t>“dấu nghiệp vụ được đăng ký tại cơ quan có thẩm quyền”.</w:t>
      </w:r>
    </w:p>
    <w:p w14:paraId="49807E13" w14:textId="77777777" w:rsidR="00AE09E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Luật Đầu tư năm 2025 đã bãi bỏ ngành, nghề kinh doanh giám định thương mại ra khỏi Danh mục ngành, nghề đầu tư, kinh doanh có điều kiện</w:t>
      </w:r>
      <w:r w:rsidR="00AE09E6" w:rsidRPr="00ED5E38">
        <w:rPr>
          <w:iCs/>
          <w:noProof/>
          <w:color w:val="000000" w:themeColor="text1"/>
          <w:sz w:val="26"/>
          <w:szCs w:val="26"/>
          <w:lang w:val="vi-VN"/>
        </w:rPr>
        <w:t xml:space="preserve"> tai Phụ lục IV Luật Đầu tư 2020</w:t>
      </w:r>
      <w:r w:rsidRPr="00ED5E38">
        <w:rPr>
          <w:iCs/>
          <w:noProof/>
          <w:color w:val="000000" w:themeColor="text1"/>
          <w:sz w:val="26"/>
          <w:szCs w:val="26"/>
          <w:lang w:val="vi-VN"/>
        </w:rPr>
        <w:t>.</w:t>
      </w:r>
      <w:r w:rsidR="00AE09E6" w:rsidRPr="00ED5E38">
        <w:rPr>
          <w:iCs/>
          <w:noProof/>
          <w:color w:val="000000" w:themeColor="text1"/>
          <w:sz w:val="26"/>
          <w:szCs w:val="26"/>
          <w:lang w:val="vi-VN"/>
        </w:rPr>
        <w:t xml:space="preserve"> </w:t>
      </w:r>
    </w:p>
    <w:p w14:paraId="721DE610" w14:textId="135D3E83" w:rsidR="00AE09E6" w:rsidRPr="00ED5E38" w:rsidRDefault="00AE09E6" w:rsidP="00E13FB9">
      <w:pPr>
        <w:pStyle w:val="FirstParagraph"/>
        <w:spacing w:before="120" w:after="120" w:line="340" w:lineRule="exact"/>
        <w:ind w:firstLine="709"/>
        <w:jc w:val="both"/>
        <w:rPr>
          <w:rFonts w:ascii="Times New Roman" w:hAnsi="Times New Roman" w:cs="Times New Roman"/>
          <w:noProof/>
          <w:color w:val="000000" w:themeColor="text1"/>
          <w:sz w:val="26"/>
          <w:szCs w:val="26"/>
          <w:lang w:val="vi-VN"/>
        </w:rPr>
      </w:pPr>
      <w:r w:rsidRPr="00ED5E38">
        <w:rPr>
          <w:rFonts w:ascii="Times New Roman" w:hAnsi="Times New Roman" w:cs="Times New Roman"/>
          <w:noProof/>
          <w:color w:val="000000" w:themeColor="text1"/>
          <w:sz w:val="26"/>
          <w:szCs w:val="26"/>
          <w:lang w:val="vi-VN"/>
        </w:rPr>
        <w:t>Theo Điều 4 Luật Đầu tư, trường hợp có quy định khác nhau giữa Luật Đầu tư và các luật ban hành trước về ngành, nghề đầu tư kinh doanh có điều kiện thì áp dụng theo quy định của Luật Đầu tư. Danh mục ngành, nghề đầu tư kinh doanh có điều kiện tại Phụ lục IV Luật Đầu tư năm 2020 hết hiệu lực kể từ ngày 01/7/2026.</w:t>
      </w:r>
    </w:p>
    <w:p w14:paraId="6E7A5E52" w14:textId="3D681C47" w:rsidR="00AE09E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Do đó, việc sửa đổi, bổ sung các quy định nêu trên</w:t>
      </w:r>
      <w:r w:rsidR="00AE09E6" w:rsidRPr="00ED5E38">
        <w:rPr>
          <w:iCs/>
          <w:noProof/>
          <w:color w:val="000000" w:themeColor="text1"/>
          <w:sz w:val="26"/>
          <w:szCs w:val="26"/>
          <w:lang w:val="vi-VN"/>
        </w:rPr>
        <w:t xml:space="preserve"> tại Luật Thương mại</w:t>
      </w:r>
      <w:r w:rsidRPr="00ED5E38">
        <w:rPr>
          <w:iCs/>
          <w:noProof/>
          <w:color w:val="000000" w:themeColor="text1"/>
          <w:sz w:val="26"/>
          <w:szCs w:val="26"/>
          <w:lang w:val="vi-VN"/>
        </w:rPr>
        <w:t xml:space="preserve"> là cần thiết nhằm bảo đảm sự thống nhất, đồng bộ của hệ thống pháp luật, khắc phục tình trạng một ngành, nghề đã được loại bỏ khỏi Danh mục ngành, nghề đầu tư, kinh doanh có điều kiện tại Luật Đầu tư nhưng trên thực tế vẫn </w:t>
      </w:r>
      <w:r w:rsidR="00AE09E6" w:rsidRPr="00ED5E38">
        <w:rPr>
          <w:iCs/>
          <w:noProof/>
          <w:color w:val="000000" w:themeColor="text1"/>
          <w:sz w:val="26"/>
          <w:szCs w:val="26"/>
          <w:lang w:val="vi-VN"/>
        </w:rPr>
        <w:t>có quy định về điều kiện kinh doanh ở Luật chuyên ngành.</w:t>
      </w:r>
    </w:p>
    <w:p w14:paraId="4225B619" w14:textId="77777777" w:rsidR="000B5450" w:rsidRPr="00ED5E38" w:rsidRDefault="00537DD6" w:rsidP="00E13FB9">
      <w:pPr>
        <w:pStyle w:val="BodyText"/>
        <w:spacing w:before="120" w:after="120" w:line="340" w:lineRule="exact"/>
        <w:ind w:firstLine="709"/>
        <w:jc w:val="both"/>
        <w:rPr>
          <w:rFonts w:ascii="Times New Roman" w:hAnsi="Times New Roman"/>
          <w:i w:val="0"/>
          <w:iCs w:val="0"/>
          <w:noProof/>
          <w:color w:val="000000" w:themeColor="text1"/>
          <w:sz w:val="26"/>
          <w:szCs w:val="26"/>
          <w:lang w:val="vi-VN"/>
        </w:rPr>
      </w:pPr>
      <w:r w:rsidRPr="00ED5E38">
        <w:rPr>
          <w:rFonts w:ascii="Times New Roman" w:hAnsi="Times New Roman"/>
          <w:i w:val="0"/>
          <w:iCs w:val="0"/>
          <w:noProof/>
          <w:color w:val="000000" w:themeColor="text1"/>
          <w:sz w:val="26"/>
          <w:szCs w:val="26"/>
          <w:lang w:val="vi-VN"/>
        </w:rPr>
        <w:lastRenderedPageBreak/>
        <w:t>Theo phương án đề xuất, các quy định mang tính tiền kiểm được bãi bỏ, chuyển sang cơ chế quản lý dựa trên nguyên tắc tự do kinh doanh gắn với trách nhiệm pháp lý của chủ thể cung ứng dịch vụ giám định thương mại</w:t>
      </w:r>
      <w:r w:rsidR="000B5450" w:rsidRPr="00ED5E38">
        <w:rPr>
          <w:rFonts w:ascii="Times New Roman" w:hAnsi="Times New Roman"/>
          <w:i w:val="0"/>
          <w:iCs w:val="0"/>
          <w:noProof/>
          <w:color w:val="000000" w:themeColor="text1"/>
          <w:sz w:val="26"/>
          <w:szCs w:val="26"/>
          <w:lang w:val="vi-VN"/>
        </w:rPr>
        <w:t xml:space="preserve">. </w:t>
      </w:r>
    </w:p>
    <w:p w14:paraId="0BEFDAA9" w14:textId="23AD15B0" w:rsidR="000B5450" w:rsidRPr="00ED5E38" w:rsidRDefault="000B5450" w:rsidP="00E13FB9">
      <w:pPr>
        <w:pStyle w:val="BodyText"/>
        <w:spacing w:before="120" w:after="120" w:line="340" w:lineRule="exact"/>
        <w:ind w:firstLine="709"/>
        <w:jc w:val="both"/>
        <w:rPr>
          <w:rFonts w:ascii="Times New Roman" w:hAnsi="Times New Roman"/>
          <w:i w:val="0"/>
          <w:iCs w:val="0"/>
          <w:noProof/>
          <w:color w:val="000000" w:themeColor="text1"/>
          <w:sz w:val="26"/>
          <w:szCs w:val="26"/>
          <w:lang w:val="vi-VN"/>
        </w:rPr>
      </w:pPr>
      <w:r w:rsidRPr="00ED5E38">
        <w:rPr>
          <w:rFonts w:ascii="Times New Roman" w:hAnsi="Times New Roman"/>
          <w:i w:val="0"/>
          <w:iCs w:val="0"/>
          <w:noProof/>
          <w:color w:val="000000" w:themeColor="text1"/>
          <w:sz w:val="26"/>
          <w:szCs w:val="26"/>
          <w:lang w:val="vi-VN"/>
        </w:rPr>
        <w:t>Theo tiêu chuẩn ISO/IEC 17020, việc bảo đảm chất lượng và độ tin cậy của hoạt động giám định được thực hiện thông qua năng lực thực tế và sự tuân thủ chuẩn mực nghề nghiệp, không đặt trên cơ sở thủ tục hành chính tiền kiểm hay đăng ký dấu nghiệp vụ. Giá trị của kết quả giám định được thị trường, đối tác và cơ quan tài phán thừa nhận chủ yếu dựa trên uy tín, năng lực và mức độ tuân thủ tiêu chuẩn của tổ chức giám định.</w:t>
      </w:r>
    </w:p>
    <w:p w14:paraId="35CB5170" w14:textId="5E11A86E" w:rsidR="00AE09E6" w:rsidRPr="00ED5E38" w:rsidRDefault="000B5450"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Do đó, v</w:t>
      </w:r>
      <w:r w:rsidR="00CE716A" w:rsidRPr="00ED5E38">
        <w:rPr>
          <w:iCs/>
          <w:noProof/>
          <w:color w:val="000000" w:themeColor="text1"/>
          <w:sz w:val="26"/>
          <w:szCs w:val="26"/>
          <w:lang w:val="vi-VN"/>
        </w:rPr>
        <w:t>iệc đăng ký con dấu giám định thương mại sẽ đồng thời được bãi bỏ</w:t>
      </w:r>
      <w:r w:rsidR="009900A4" w:rsidRPr="00ED5E38">
        <w:rPr>
          <w:iCs/>
          <w:noProof/>
          <w:color w:val="000000" w:themeColor="text1"/>
          <w:sz w:val="26"/>
          <w:szCs w:val="26"/>
          <w:lang w:val="vi-VN"/>
        </w:rPr>
        <w:t>, vì không thực sự cần thiết.</w:t>
      </w:r>
      <w:r w:rsidR="00D668B8" w:rsidRPr="00ED5E38">
        <w:rPr>
          <w:iCs/>
          <w:noProof/>
          <w:color w:val="000000" w:themeColor="text1"/>
          <w:sz w:val="26"/>
          <w:szCs w:val="26"/>
          <w:lang w:val="vi-VN"/>
        </w:rPr>
        <w:t xml:space="preserve"> Theo đó, các văn bản dưới luật hướng dẫn nội dung này sẽ được các cơ quan có thẩm quyền xem xét bãi bỏ, sửa đổi phù hợp.</w:t>
      </w:r>
    </w:p>
    <w:p w14:paraId="4C2DC129" w14:textId="2CCD1885" w:rsidR="00AE09E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Cách tiếp cận này phù hợp với định hướng cải cách pháp luật về đầu tư, kinh doanh, góp phần nâng cao tính minh bạch và khả năng dự đoán trước của hệ thống pháp luật, </w:t>
      </w:r>
      <w:r w:rsidR="000B5450" w:rsidRPr="00ED5E38">
        <w:rPr>
          <w:iCs/>
          <w:noProof/>
          <w:color w:val="000000" w:themeColor="text1"/>
          <w:sz w:val="26"/>
          <w:szCs w:val="26"/>
          <w:lang w:val="vi-VN"/>
        </w:rPr>
        <w:t>tôn trọng sự tự do của thị trường.</w:t>
      </w:r>
    </w:p>
    <w:p w14:paraId="08F02D51" w14:textId="5332840D"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Phương án sửa đổi dự kiến tạo điều kiện thuận lợi cho tổ chức, cá nhân tham gia hoạt động kinh doanh, góp phần hình thành môi trường kinh doanh thuận lợi, lành mạnh, công bằng; thúc đẩy đổi mới sáng tạo; đồng thời nâng cao hiệu lực, hiệu quả quản lý nhà nước. Bên cạnh đó, phương án cũng góp phần thể chế hóa đầy đủ các quan điểm, chủ trương của Đảng và chính sách, pháp luật của Nhà nước về cắt giảm, đơn giản hóa thủ tục hành chính liên quan đến hoạt động sản xuất, kinh doanh thuộc phạm vi quản lý nhà nước của Bộ</w:t>
      </w:r>
      <w:r w:rsidR="000B5450" w:rsidRPr="00ED5E38">
        <w:rPr>
          <w:iCs/>
          <w:noProof/>
          <w:color w:val="000000" w:themeColor="text1"/>
          <w:sz w:val="26"/>
          <w:szCs w:val="26"/>
          <w:lang w:val="vi-VN"/>
        </w:rPr>
        <w:t xml:space="preserve"> Công Thương.</w:t>
      </w:r>
    </w:p>
    <w:p w14:paraId="01073094"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Về việc sửa đổi quy định về độc quyền nhà nước:</w:t>
      </w:r>
    </w:p>
    <w:p w14:paraId="0BDF616E" w14:textId="77777777" w:rsidR="00537DD6" w:rsidRPr="00ED5E38" w:rsidRDefault="00537DD6" w:rsidP="00E13FB9">
      <w:pPr>
        <w:tabs>
          <w:tab w:val="left" w:pos="426"/>
        </w:tabs>
        <w:spacing w:before="120" w:after="120" w:line="340" w:lineRule="exact"/>
        <w:ind w:firstLine="709"/>
        <w:jc w:val="both"/>
        <w:rPr>
          <w:bCs/>
          <w:iCs/>
          <w:noProof/>
          <w:color w:val="000000" w:themeColor="text1"/>
          <w:sz w:val="26"/>
          <w:szCs w:val="26"/>
          <w:lang w:val="vi-VN"/>
        </w:rPr>
      </w:pPr>
      <w:r w:rsidRPr="00ED5E38">
        <w:rPr>
          <w:bCs/>
          <w:iCs/>
          <w:noProof/>
          <w:color w:val="000000" w:themeColor="text1"/>
          <w:sz w:val="26"/>
          <w:szCs w:val="26"/>
          <w:lang w:val="vi-VN"/>
        </w:rPr>
        <w:t xml:space="preserve">+ Về tính hợp hiến: </w:t>
      </w:r>
    </w:p>
    <w:p w14:paraId="13A96D44" w14:textId="77777777" w:rsidR="00537DD6" w:rsidRPr="00ED5E38" w:rsidRDefault="00537DD6" w:rsidP="00E13FB9">
      <w:pPr>
        <w:tabs>
          <w:tab w:val="left" w:pos="426"/>
        </w:tabs>
        <w:spacing w:before="120" w:after="120" w:line="340" w:lineRule="exact"/>
        <w:ind w:firstLine="709"/>
        <w:jc w:val="both"/>
        <w:rPr>
          <w:iCs/>
          <w:noProof/>
          <w:color w:val="000000" w:themeColor="text1"/>
          <w:sz w:val="26"/>
          <w:szCs w:val="26"/>
          <w:lang w:val="vi-VN"/>
        </w:rPr>
      </w:pPr>
      <w:r w:rsidRPr="00ED5E38">
        <w:rPr>
          <w:bCs/>
          <w:iCs/>
          <w:noProof/>
          <w:color w:val="000000" w:themeColor="text1"/>
          <w:sz w:val="26"/>
          <w:szCs w:val="26"/>
          <w:lang w:val="vi-VN"/>
        </w:rPr>
        <w:t xml:space="preserve">Chính sách hoàn toàn phù hợp với </w:t>
      </w:r>
      <w:r w:rsidRPr="00ED5E38">
        <w:rPr>
          <w:iCs/>
          <w:noProof/>
          <w:color w:val="000000" w:themeColor="text1"/>
          <w:sz w:val="26"/>
          <w:szCs w:val="26"/>
          <w:lang w:val="vi-VN"/>
        </w:rPr>
        <w:t xml:space="preserve">Khoản 1 Điều 51 Hiến pháp năm 2013 khẳng định nền kinh tế Việt Nam là nền kinh tế thị trường định hướng xã hội chủ nghĩa với nhiều hình thức sở hữu, nhiều thành phần kinh tế, trong đó kinh tế nhà nước giữ vai trò chủ đạo. </w:t>
      </w:r>
    </w:p>
    <w:p w14:paraId="65D18070" w14:textId="77777777" w:rsidR="00537DD6" w:rsidRPr="00ED5E38" w:rsidRDefault="00537DD6" w:rsidP="00E13FB9">
      <w:pPr>
        <w:tabs>
          <w:tab w:val="left" w:pos="426"/>
        </w:tabs>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Nghị quyết số 79-NQ/TW của Bộ Chính trị tiếp tục làm rõ vai trò này, theo đó “Kinh tế nhà nước giữ vai trò chủ đạo trong nền kinh tế thị trường định hướng xã hội chủ nghĩa, bảo đảm ổn định vĩ mô, các cân đối lớn của nền kinh tế, định hướng chiến lược phát triển, giữ vững quốc phòng, an ninh; góp phần phát huy giá trị văn hoá và tiến bộ công bằng, an sinh xã hội; là nguồn lực quan trọng để Nhà nước chi phối, can thiệp kịp thời đáp ứng các yêu cầu đột xuất, cấp bách phát sinh”</w:t>
      </w:r>
    </w:p>
    <w:p w14:paraId="313929C2"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Tuy nhiên, việc thực hiện vai trò chủ đạo của kinh tế nhà nước không đồng nghĩa với việc mở rộng hoặc duy trì cơ chế độc quyền nhà nước một cách dàn trải, thiếu giới hạn pháp lý chặt chẽ. </w:t>
      </w:r>
    </w:p>
    <w:p w14:paraId="7903CA45"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Khoản 4 Điều 6 Luật Thương mại hiện hành quy định Nhà nước thực hiện độc quyền nhà nước có thời hạn đối với một số hàng hóa, dịch vụ hoặc địa bàn vì lợi ích quốc gia, đồng thời giao Chính phủ quy định cụ thể danh mục độc quyền. </w:t>
      </w:r>
    </w:p>
    <w:p w14:paraId="2173AE42"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lastRenderedPageBreak/>
        <w:t>Quy định có tính chất hạn chế quyền tự do kinh doanh của tổ chức, cá nhân được xác định tại văn bản dưới luật.</w:t>
      </w:r>
    </w:p>
    <w:p w14:paraId="6DF0D0BF"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Trong khi đó, khoản 2 Điều 14 Hiến pháp năm 2013 quy định rõ quyền con người, quyền công dân chỉ có thể bị hạn chế theo quy định của luật và chỉ trong những trường hợp thật sự cần thiết vì các lý do được Hiến pháp xác định. </w:t>
      </w:r>
    </w:p>
    <w:p w14:paraId="4A85271F"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Do đó, việc giao Chính phủ quy định danh mục hàng hóa, dịch vụ, địa bàn độc quyền nhà nước chưa bảo đảm đầy đủ yêu cầu về tính hợp hiến trong việc hạn chế quyền con người, quyền công dân.</w:t>
      </w:r>
    </w:p>
    <w:p w14:paraId="544452B4" w14:textId="77777777" w:rsidR="00E36397"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Trên cơ sở đó, dự thảo Luật đề xuất bãi bỏ quy định “</w:t>
      </w:r>
      <w:r w:rsidRPr="00ED5E38">
        <w:rPr>
          <w:i/>
          <w:iCs/>
          <w:noProof/>
          <w:color w:val="000000" w:themeColor="text1"/>
          <w:sz w:val="26"/>
          <w:szCs w:val="26"/>
          <w:lang w:val="vi-VN"/>
        </w:rPr>
        <w:t>Chính phủ quy định cụ thể danh mục hàng hóa, dịch vụ, địa bàn độc quyền Nhà nước</w:t>
      </w:r>
      <w:r w:rsidRPr="00ED5E38">
        <w:rPr>
          <w:iCs/>
          <w:noProof/>
          <w:color w:val="000000" w:themeColor="text1"/>
          <w:sz w:val="26"/>
          <w:szCs w:val="26"/>
          <w:lang w:val="vi-VN"/>
        </w:rPr>
        <w:t xml:space="preserve">”. </w:t>
      </w:r>
      <w:r w:rsidR="00E36397" w:rsidRPr="00ED5E38">
        <w:rPr>
          <w:iCs/>
          <w:noProof/>
          <w:color w:val="000000" w:themeColor="text1"/>
          <w:sz w:val="26"/>
          <w:szCs w:val="26"/>
          <w:lang w:val="vi-VN"/>
        </w:rPr>
        <w:t>đảm bảo tính hợp hiến.</w:t>
      </w:r>
    </w:p>
    <w:p w14:paraId="5C259D01" w14:textId="77777777" w:rsidR="00E36397" w:rsidRPr="00ED5E38" w:rsidRDefault="00E36397"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 </w:t>
      </w:r>
      <w:r w:rsidRPr="00ED5E38">
        <w:rPr>
          <w:noProof/>
          <w:color w:val="000000" w:themeColor="text1"/>
          <w:sz w:val="26"/>
          <w:szCs w:val="26"/>
          <w:lang w:val="vi-VN"/>
        </w:rPr>
        <w:t>Về sự cần thiết phải ban hành mới, sửa đổi, bổ sung, thay thế hoặc bãi bỏ văn bản quy phạm pháp luật</w:t>
      </w:r>
    </w:p>
    <w:p w14:paraId="741DA7C9" w14:textId="5F5CD019" w:rsidR="00537DD6" w:rsidRPr="00ED5E38" w:rsidRDefault="00E36397" w:rsidP="00E13FB9">
      <w:pPr>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Bãi bỏ quy định “</w:t>
      </w:r>
      <w:r w:rsidRPr="00ED5E38">
        <w:rPr>
          <w:i/>
          <w:iCs/>
          <w:noProof/>
          <w:color w:val="000000" w:themeColor="text1"/>
          <w:sz w:val="26"/>
          <w:szCs w:val="26"/>
          <w:lang w:val="vi-VN"/>
        </w:rPr>
        <w:t>Chính phủ quy định cụ thể danh mục hàng hóa, dịch vụ, địa bàn độc quyền Nhà nước</w:t>
      </w:r>
      <w:r w:rsidRPr="00ED5E38">
        <w:rPr>
          <w:iCs/>
          <w:noProof/>
          <w:color w:val="000000" w:themeColor="text1"/>
          <w:sz w:val="26"/>
          <w:szCs w:val="26"/>
          <w:lang w:val="vi-VN"/>
        </w:rPr>
        <w:t xml:space="preserve">” sẽ dẫn đến việc chấm dứt hiệu lực của Nghị định số 94/2017/NĐ-CP </w:t>
      </w:r>
      <w:r w:rsidRPr="00ED5E38">
        <w:rPr>
          <w:noProof/>
          <w:color w:val="000000" w:themeColor="text1"/>
          <w:sz w:val="26"/>
          <w:szCs w:val="26"/>
          <w:lang w:val="vi-VN"/>
        </w:rPr>
        <w:t>về hàng hóa, dịch vụ, địa bàn thực hiện độc quyền nhà nước trong hoạt động thương mại.</w:t>
      </w:r>
      <w:r w:rsidR="00537DD6" w:rsidRPr="00ED5E38">
        <w:rPr>
          <w:iCs/>
          <w:noProof/>
          <w:color w:val="000000" w:themeColor="text1"/>
          <w:sz w:val="26"/>
          <w:szCs w:val="26"/>
          <w:lang w:val="vi-VN"/>
        </w:rPr>
        <w:t xml:space="preserve"> </w:t>
      </w:r>
    </w:p>
    <w:p w14:paraId="30BABAA3"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Theo phương án này, chế độ độc quyền nhà nước không bị loại bỏ hoàn toàn mà được thiết kế lại theo hướng chỉ được quy định trực tiếp tại các luật chuyên ngành, gắn với từng lĩnh vực cụ thể và phải đáp ứng đầy đủ các điều kiện về tính cần thiết, tính hợp lý và tính tương xứng. Phương án này đảm bảo tính hợp hiến, hợp pháp.</w:t>
      </w:r>
    </w:p>
    <w:p w14:paraId="0696D95B" w14:textId="0EAB7D6E" w:rsidR="00537DD6" w:rsidRPr="00ED5E38" w:rsidRDefault="00537DD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Hiện nay, các quy định về độc quyền nhà nước trong quản lý nhà nước chuyên ngành được quy định tại các văn bản sau</w:t>
      </w:r>
      <w:r w:rsidR="00011C31" w:rsidRPr="00ED5E38">
        <w:rPr>
          <w:noProof/>
          <w:color w:val="000000" w:themeColor="text1"/>
          <w:sz w:val="26"/>
          <w:szCs w:val="26"/>
          <w:lang w:val="vi-VN"/>
        </w:rPr>
        <w:t>:</w:t>
      </w:r>
    </w:p>
    <w:tbl>
      <w:tblPr>
        <w:tblW w:w="9782" w:type="dxa"/>
        <w:tblLayout w:type="fixed"/>
        <w:tblCellMar>
          <w:top w:w="15" w:type="dxa"/>
          <w:left w:w="15" w:type="dxa"/>
          <w:bottom w:w="15" w:type="dxa"/>
          <w:right w:w="15" w:type="dxa"/>
        </w:tblCellMar>
        <w:tblLook w:val="04A0" w:firstRow="1" w:lastRow="0" w:firstColumn="1" w:lastColumn="0" w:noHBand="0" w:noVBand="1"/>
      </w:tblPr>
      <w:tblGrid>
        <w:gridCol w:w="568"/>
        <w:gridCol w:w="2126"/>
        <w:gridCol w:w="2268"/>
        <w:gridCol w:w="4820"/>
      </w:tblGrid>
      <w:tr w:rsidR="00E36397" w:rsidRPr="00ED5E38" w14:paraId="196C57C3"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264716" w14:textId="77777777" w:rsidR="00E36397" w:rsidRPr="00ED5E38" w:rsidRDefault="00E36397" w:rsidP="003E4449">
            <w:pPr>
              <w:pStyle w:val="NormalWeb"/>
              <w:spacing w:before="60" w:beforeAutospacing="0" w:after="60" w:afterAutospacing="0"/>
              <w:ind w:firstLine="567"/>
              <w:jc w:val="center"/>
              <w:rPr>
                <w:b/>
                <w:bCs/>
                <w:noProof/>
                <w:color w:val="000000" w:themeColor="text1"/>
                <w:sz w:val="26"/>
                <w:szCs w:val="26"/>
                <w:lang w:val="vi-VN"/>
              </w:rPr>
            </w:pPr>
            <w:r w:rsidRPr="00ED5E38">
              <w:rPr>
                <w:b/>
                <w:bCs/>
                <w:noProof/>
                <w:color w:val="000000" w:themeColor="text1"/>
                <w:sz w:val="26"/>
                <w:szCs w:val="26"/>
                <w:lang w:val="vi-VN"/>
              </w:rPr>
              <w:t>TTT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81F0D6" w14:textId="77777777" w:rsidR="00E36397" w:rsidRPr="00ED5E38" w:rsidRDefault="00E36397" w:rsidP="003E4449">
            <w:pPr>
              <w:pStyle w:val="NormalWeb"/>
              <w:spacing w:before="60" w:beforeAutospacing="0" w:after="60" w:afterAutospacing="0"/>
              <w:ind w:firstLine="34"/>
              <w:jc w:val="center"/>
              <w:rPr>
                <w:b/>
                <w:bCs/>
                <w:noProof/>
                <w:color w:val="000000" w:themeColor="text1"/>
                <w:sz w:val="26"/>
                <w:szCs w:val="26"/>
                <w:lang w:val="vi-VN"/>
              </w:rPr>
            </w:pPr>
            <w:r w:rsidRPr="00ED5E38">
              <w:rPr>
                <w:b/>
                <w:bCs/>
                <w:noProof/>
                <w:color w:val="000000" w:themeColor="text1"/>
                <w:sz w:val="26"/>
                <w:szCs w:val="26"/>
                <w:lang w:val="vi-VN"/>
              </w:rPr>
              <w:t>Lĩnh vực/ Ngành, nghề</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0ED0D" w14:textId="77777777" w:rsidR="00E36397" w:rsidRPr="00ED5E38" w:rsidRDefault="00E36397" w:rsidP="003E4449">
            <w:pPr>
              <w:pStyle w:val="NormalWeb"/>
              <w:spacing w:before="60" w:beforeAutospacing="0" w:after="60" w:afterAutospacing="0"/>
              <w:jc w:val="center"/>
              <w:rPr>
                <w:b/>
                <w:bCs/>
                <w:noProof/>
                <w:color w:val="000000" w:themeColor="text1"/>
                <w:sz w:val="26"/>
                <w:szCs w:val="26"/>
                <w:lang w:val="vi-VN"/>
              </w:rPr>
            </w:pPr>
            <w:r w:rsidRPr="00ED5E38">
              <w:rPr>
                <w:b/>
                <w:bCs/>
                <w:noProof/>
                <w:color w:val="000000" w:themeColor="text1"/>
                <w:sz w:val="26"/>
                <w:szCs w:val="26"/>
                <w:lang w:val="vi-VN"/>
              </w:rPr>
              <w:t>Văn bản quy định</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2E51D" w14:textId="77777777" w:rsidR="00E36397" w:rsidRPr="00ED5E38" w:rsidRDefault="00E36397" w:rsidP="003E4449">
            <w:pPr>
              <w:pStyle w:val="NormalWeb"/>
              <w:spacing w:before="60" w:beforeAutospacing="0" w:after="60" w:afterAutospacing="0"/>
              <w:ind w:firstLine="567"/>
              <w:jc w:val="center"/>
              <w:rPr>
                <w:b/>
                <w:bCs/>
                <w:noProof/>
                <w:color w:val="000000" w:themeColor="text1"/>
                <w:sz w:val="26"/>
                <w:szCs w:val="26"/>
                <w:lang w:val="vi-VN"/>
              </w:rPr>
            </w:pPr>
            <w:r w:rsidRPr="00ED5E38">
              <w:rPr>
                <w:b/>
                <w:bCs/>
                <w:noProof/>
                <w:color w:val="000000" w:themeColor="text1"/>
                <w:sz w:val="26"/>
                <w:szCs w:val="26"/>
                <w:lang w:val="vi-VN"/>
              </w:rPr>
              <w:t>Nội dung quy định</w:t>
            </w:r>
          </w:p>
        </w:tc>
      </w:tr>
      <w:tr w:rsidR="00E36397" w:rsidRPr="00ED5E38" w14:paraId="5A14C4D3"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F9F97" w14:textId="77777777" w:rsidR="00E36397" w:rsidRPr="00ED5E38" w:rsidRDefault="00E36397" w:rsidP="003E4449">
            <w:pPr>
              <w:pStyle w:val="ListParagraph"/>
              <w:numPr>
                <w:ilvl w:val="0"/>
                <w:numId w:val="3"/>
              </w:numPr>
              <w:spacing w:before="60" w:after="60" w:line="240" w:lineRule="auto"/>
              <w:ind w:left="164" w:firstLine="0"/>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4A5633"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 xml:space="preserve">Hàng hóa, dịch vụ phục vụ mục đích quốc phòng, an ninh </w:t>
            </w:r>
          </w:p>
          <w:p w14:paraId="6BD99D32"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0699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0C64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r>
      <w:tr w:rsidR="00E36397" w:rsidRPr="00ED5E38" w14:paraId="30BB9287"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FC3DE" w14:textId="77777777" w:rsidR="00E36397" w:rsidRPr="00ED5E38" w:rsidRDefault="00E36397" w:rsidP="003E4449">
            <w:pPr>
              <w:pStyle w:val="ListParagraph"/>
              <w:numPr>
                <w:ilvl w:val="0"/>
                <w:numId w:val="3"/>
              </w:numPr>
              <w:spacing w:before="60" w:after="60" w:line="240" w:lineRule="auto"/>
              <w:ind w:left="164" w:firstLine="0"/>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A0718"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Vật liệu nổ công nghiệp</w:t>
            </w:r>
          </w:p>
          <w:p w14:paraId="4A0F0FB1"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(Sản xuất, mua, bán, xuất khẩu, nhập khẩu, tạm nhập, tái xuất, vận chuyển quá cảnh)</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D9C95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Quản lý, sử dụng vũ khí, vật liệu nổ và công cụ hỗ trợ số 42/2024/QH15</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4EB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34. Nghiên cứu, sản xuất, kinh doanh, xuất khẩu, nhập khẩu vật liệu nổ công nghiệp</w:t>
            </w:r>
          </w:p>
          <w:p w14:paraId="4D90B87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Việc sản xuất vật liệu nổ công nghiệp thực hiện theo quy định sau đây:</w:t>
            </w:r>
          </w:p>
          <w:p w14:paraId="440170B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Tổ chức, doanh nghiệp sản xuất vật liệu nổ công nghiệp phải là tổ chức, doanh nghiệp nhà nước hoặc doanh nghiệp do doanh nghiệp nhà nước nắm giữ 100% vốn điều lệ được Bộ trưởng Bộ Công Thương, Bộ trưởng Bộ Công an, Bộ trưởng Bộ Quốc phòng giao nhiệm vụ</w:t>
            </w:r>
          </w:p>
          <w:p w14:paraId="064EF5C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3. Việc kinh doanh vật liệu nổ công nghiệp thực hiện theo quy định sau đây:</w:t>
            </w:r>
          </w:p>
          <w:p w14:paraId="1E36A09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Doanh nghiệp kinh doanh vật liệu nổ công nghiệp phải là doanh nghiệp nhà nước hoặc doanh nghiệp do doanh nghiệp nhà nước nắm giữ 100% vốn điều lệ được Bộ trưởng Bộ Công Thương, Bộ trưởng Bộ Công an, Bộ trưởng Bộ Quốc phòng giao nhiệm vụ.</w:t>
            </w:r>
          </w:p>
        </w:tc>
      </w:tr>
      <w:tr w:rsidR="00E36397" w:rsidRPr="00ED5E38" w14:paraId="4327D04C"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11E6F"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29568E"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Vàng miếng</w:t>
            </w:r>
          </w:p>
          <w:p w14:paraId="4BEA2AFA"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(sản xuất)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F84C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232/2025/NĐ-CP sửa đổi bổ sung Nghị định 24/2012/NĐ-CP về quản lý kinh doanh vàng</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666F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2 Nghị định 232/2025/NĐ-CP Bãi bỏ khoản 3 Điều 4 của Nghị định số 24/2012/NĐ-CP chính phủ về quản lý hoạt động kinh doanh vàng.</w:t>
            </w:r>
          </w:p>
          <w:p w14:paraId="2A79F2D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w:t>
            </w:r>
            <w:r w:rsidRPr="00ED5E38">
              <w:rPr>
                <w:strike/>
                <w:noProof/>
                <w:color w:val="000000" w:themeColor="text1"/>
                <w:sz w:val="26"/>
                <w:szCs w:val="26"/>
                <w:lang w:val="vi-VN"/>
              </w:rPr>
              <w:t>3. Nhà nước độc quyền sản xuất vàng miếng, xuất khẩu vàng nguyên liệu và nhập khẩu vàng nguyên liệu để sản xuất vàng miếng.”</w:t>
            </w:r>
          </w:p>
          <w:p w14:paraId="23670B4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=&gt; Đã bãi bỏ độc quyền nhà nước về sản xuất, xuất khẩu vàng nguyên liệu và nhập khẩu vàng nguyên liệu để sản xuất vàng miếng</w:t>
            </w:r>
          </w:p>
        </w:tc>
      </w:tr>
      <w:tr w:rsidR="00E36397" w:rsidRPr="00ED5E38" w14:paraId="66A78F80"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6ECDF8"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E0A58B"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Vàng nguyên liệu</w:t>
            </w:r>
          </w:p>
          <w:p w14:paraId="773BA866"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(Xuất khẩu và nhập khẩu để sản xuất vàng miếng)</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8484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232/2025/NĐ-CP sửa đổi bổ sung Nghị định 24/2012/NĐ-CP về quản lý kinh doanh vàng</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B9323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2 Nghị định 232/2025/NĐ-CP Bãi bỏ khoản 3 Điều 4 của Nghị định số 24/2012/NĐ-CP chính phủ về quản lý hoạt động kinh doanh vàng.</w:t>
            </w:r>
          </w:p>
          <w:p w14:paraId="29C950B0" w14:textId="77777777" w:rsidR="00E36397" w:rsidRPr="00ED5E38" w:rsidRDefault="00E36397" w:rsidP="003E4449">
            <w:pPr>
              <w:pStyle w:val="NormalWeb"/>
              <w:spacing w:before="60" w:beforeAutospacing="0" w:after="60" w:afterAutospacing="0"/>
              <w:jc w:val="both"/>
              <w:rPr>
                <w:strike/>
                <w:noProof/>
                <w:color w:val="000000" w:themeColor="text1"/>
                <w:sz w:val="26"/>
                <w:szCs w:val="26"/>
                <w:lang w:val="vi-VN"/>
              </w:rPr>
            </w:pPr>
            <w:r w:rsidRPr="00ED5E38">
              <w:rPr>
                <w:strike/>
                <w:noProof/>
                <w:color w:val="000000" w:themeColor="text1"/>
                <w:sz w:val="26"/>
                <w:szCs w:val="26"/>
                <w:lang w:val="vi-VN"/>
              </w:rPr>
              <w:t>“3. Nhà nước độc quyền sản xuất vàng miếng, xuất khẩu vàng nguyên liệu và nhập khẩu vàng nguyên liệu để sản xuất vàng miếng.”</w:t>
            </w:r>
          </w:p>
          <w:p w14:paraId="2B29337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=&gt; Đã bãi bỏ độc quyền nhà nước về sản xuất, xuất khẩu vàng nguyên liệu và nhập khẩu vàng nguyên liệu để sản xuất vàng miếng</w:t>
            </w:r>
          </w:p>
        </w:tc>
      </w:tr>
      <w:tr w:rsidR="00E36397" w:rsidRPr="00ED5E38" w14:paraId="045858A6"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921B4"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CEC810"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Xổ số kiến thiết </w:t>
            </w:r>
          </w:p>
          <w:p w14:paraId="06DDE735"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(Phát hành)</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FB841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30/2007/NĐ-CP của Chính phủ về kinh doanh xổ số</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083EA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23 quy định “Doanh nghiệp kinh doanh xổ số là công ty trách nhiệm hữu hạn một thành viên, do Nhà nước sở hữu 100% vốn”.</w:t>
            </w:r>
          </w:p>
        </w:tc>
      </w:tr>
      <w:tr w:rsidR="00E36397" w:rsidRPr="00ED5E38" w14:paraId="5349CE5E"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D92D3"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067D2C"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Thuốc lá điếu, xì gà</w:t>
            </w:r>
          </w:p>
          <w:p w14:paraId="2EFCD6A1"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(Nhập khẩu (trừ trường hợp nhập khẩu để kinh doanh bán hàng miễn thuế)</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C2A99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số 67/2013//NĐ-CP ngày 18 tháng 7 năm 2007 của Chính phủ về sản xuất và kinh doanh thuốc lá</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FF9A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6 Điều 3 quy định “Thương mại Nhà nước trong nhập khẩu sản phẩm thuốc lá là cơ chế nhập khẩu trên cơ sở Nhà nước chỉ định doanh nghiệp đầu mối nhập khẩu sản phẩm thuốc lá”.</w:t>
            </w:r>
          </w:p>
        </w:tc>
      </w:tr>
      <w:tr w:rsidR="00E36397" w:rsidRPr="00ED5E38" w14:paraId="0BD0062F"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7EBD4C"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30DB96"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Hoạt động dự trữ quốc gia</w:t>
            </w:r>
          </w:p>
          <w:p w14:paraId="1B64CE34"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(Quản lý, nhập khẩu, xuất khẩu, mua, bán, bảo quản, bảo vệ hàng hóa thuộc Danh mục dự trữ quốc gia.)</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76A0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Dự trữ quốc gia số: 145/2025/QH15;</w:t>
            </w:r>
          </w:p>
          <w:p w14:paraId="1FBB267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BEBB1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3 Điều 22 “Căn cứ dự toán được cấp có thẩm quyền phê duyệt và phương án cân đối nguồn tài chính từ nguồn xuất bán hàng dự trữ quốc gia, nguồn hợp pháp khác, Bộ trưởng Bộ Tài chính quyết định kế hoạch dự trữ quốc gia hằng năm”</w:t>
            </w:r>
          </w:p>
          <w:p w14:paraId="551BDC09"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23. Thẩm quyền quyết định nhập, xuất hàng dự trữ quốc gia của Bộ trưởng Bộ Tài chính</w:t>
            </w:r>
          </w:p>
          <w:p w14:paraId="28D5231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Nhập hàng dự trữ quốc gia trong các tình huống sau:</w:t>
            </w:r>
          </w:p>
          <w:p w14:paraId="13AF9FF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Nhập hàng dự trữ quốc gia do tổ chức, cá nhân tự nguyện đóng góp cho Nhà nước thực hiện mục tiêu dự trữ quốc gia;</w:t>
            </w:r>
          </w:p>
          <w:p w14:paraId="5399921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Khi giá cả thị trường, nguồn hàng hoá tăng, giảm đột biến.</w:t>
            </w:r>
          </w:p>
          <w:p w14:paraId="458551E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Xuất hàng dự trữ quốc gia trong các tình huống sau:</w:t>
            </w:r>
          </w:p>
          <w:p w14:paraId="26A38F1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Phục vụ hoạt động của Đảng và Nhà nước;</w:t>
            </w:r>
          </w:p>
          <w:p w14:paraId="6BB62BF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Khi giá cả thị trường, nguồn hàng hoá tăng, giảm đột biến;</w:t>
            </w:r>
          </w:p>
          <w:p w14:paraId="46C19A2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Xuất hàng dự trữ quốc gia trong trường hợp chưa có trong kế hoạch hoặc ngoài tình huống quy định tại khoản 4 Điều 3 Luật này; Bộ, cơ quan ngang Bộ được giao quản lý hàng dự trữ quốc gia không có, không đủ hàng dự trữ quốc gia để xuất cấp theo mục tiêu quy định tại khoản 1 Điều 2 Luật này.</w:t>
            </w:r>
          </w:p>
          <w:p w14:paraId="0C442BC8"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3. Chính phủ quy định chi tiết Điều này.</w:t>
            </w:r>
          </w:p>
          <w:p w14:paraId="2E50481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24. Thẩm quyền quyết định nhập, xuất hàng dự trữ quốc gia của Bộ trưởng, Thủ trưởng cơ quan ngang Bộ quản lý hàng dự trữ quốc gia</w:t>
            </w:r>
          </w:p>
          <w:p w14:paraId="58E94E5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Nhập hàng dự trữ quốc gia trong các tình huống sau:</w:t>
            </w:r>
          </w:p>
          <w:p w14:paraId="096EAF0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Nhập hàng dự trữ quốc gia theo kế hoạch hàng dự trữ quốc gia;</w:t>
            </w:r>
          </w:p>
          <w:p w14:paraId="763E6AF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Nhập hàng dự trữ quốc gia theo quyết định của Bộ trưởng Bộ Tài chính theo quy định tại điểm a khoản 1 Điều 23 Luật này;</w:t>
            </w:r>
          </w:p>
          <w:p w14:paraId="5399D55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Nhập hàng dự trữ quốc gia đối với số lượng hàng khi kiểm kê thực tế lớn hơn so với sổ kế toán.</w:t>
            </w:r>
          </w:p>
          <w:p w14:paraId="4F99C47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Xuất hàng dự trữ quốc gia trong các tình huống sau:</w:t>
            </w:r>
          </w:p>
          <w:p w14:paraId="5912F7F9"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a) Xuất hàng dự trữ quốc gia theo kế hoạch hàng dự trữ quốc gia;</w:t>
            </w:r>
          </w:p>
          <w:p w14:paraId="47BFF72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Xuất cấp hàng dự trữ quốc gia trong tình huống đột xuất, cấp bách quy định tại khoản 4 Điều 3 Luật này;</w:t>
            </w:r>
          </w:p>
          <w:p w14:paraId="2A78878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Xuất tiêu hủy hàng dự trữ quốc gia.</w:t>
            </w:r>
          </w:p>
          <w:p w14:paraId="6CF3238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3. Điều chuyển nội bộ hàng dự trữ quốc gia trong các trường hợp sau:</w:t>
            </w:r>
          </w:p>
          <w:p w14:paraId="46A6A658"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Bảo đảm an toàn, phù hợp điều kiện về kho hàng, bảo quản hàng dự trữ quốc gia;</w:t>
            </w:r>
          </w:p>
          <w:p w14:paraId="02484FB8"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Ra khỏi vùng bị thiên tai, hỏa hoạn hoặc không an toàn;</w:t>
            </w:r>
          </w:p>
          <w:p w14:paraId="2B26FFD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Đến nơi cần thiết để sẵn sàng phục vụ các nhiệm vụ phát sinh, phục vụ hoạt động của Đảng và Nhà nước;</w:t>
            </w:r>
          </w:p>
          <w:p w14:paraId="1231A53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d) Do yêu cầu cần thiết của công tác kiểm kê, bàn giao, thanh tra, điều tra.</w:t>
            </w:r>
          </w:p>
          <w:p w14:paraId="159BEBC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4. Bộ trưởng, Thủ trưởng cơ quan ngang Bộ quản lý hàng dự trữ quốc gia quyết định tạm xuất hàng dự trữ quốc gia để thực hiện mục tiêu quy định tại khoản 1 Điều 2 Luật này, sau khi hoàn thành nhiệm vụ phải thu hồi hoặc xuất cấp, xuất bán và chịu trách nhiệm về quyết định của mình.</w:t>
            </w:r>
          </w:p>
          <w:p w14:paraId="19AFE42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5. Chính phủ quy định chi tiết Điều này; quy định nội dung, trình tự, thủ tục quyết định nhập, xuất, tạm xuất, thu hồi hàng dự trữ quốc gia.</w:t>
            </w:r>
          </w:p>
        </w:tc>
      </w:tr>
      <w:tr w:rsidR="00E36397" w:rsidRPr="00ED5E38" w14:paraId="675F032D"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89E907"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r w:rsidRPr="00ED5E38">
              <w:rPr>
                <w:rFonts w:ascii="Times New Roman" w:eastAsia="Times New Roman" w:hAnsi="Times New Roman"/>
                <w:noProof/>
                <w:color w:val="000000" w:themeColor="text1"/>
                <w:sz w:val="26"/>
                <w:szCs w:val="26"/>
                <w:lang w:val="vi-VN"/>
              </w:rPr>
              <w:lastRenderedPageBreak/>
              <w:t>\</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BD94F9"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Tiền</w:t>
            </w:r>
          </w:p>
          <w:p w14:paraId="0B08EFB9"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(In, đúc)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E148D2"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40/2012/NĐ-CP của Chính phủ về nghiệp vụ phát hành tiền, bảo quản, vận chuyển tài sản quý và giấy tờ có giá trong hệ thống Ngân hàng Nhà nước, tổ chức tín dụng và chi nhánh ngân hàng nước ngoài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39E79"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7 quy định Ngân hàng Nhà nước tổ chức việc in, đúc tiền theo nguyên tắc:</w:t>
            </w:r>
          </w:p>
          <w:p w14:paraId="3ED336F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Việc in, đúc tiền được thực hiện theo hợp đồng giữa Ngân hàng Nhà nước và các cơ sở in, đúc tiền trên cơ sở kế hoạch in, đúc tiền và tiêu chuẩn kỹ thuật từng loại tiền do Thống đốc Ngân hàng Nhà nước quy định.</w:t>
            </w:r>
          </w:p>
          <w:p w14:paraId="47EF6AC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Ngân hàng Nhà nước thực hiện kiểm tra chất lượng các loại tiền trước khi cơ sở in, đúc tiền giao cho Ngân hàng Nhà nước.</w:t>
            </w:r>
          </w:p>
          <w:p w14:paraId="46DF589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3. Trường hợp thực hiện chế bản in, tạo khuôn đúc và in, đúc tiền Việt Nam ở nước ngoài, Ngân hàng Nhà nước trình Thủ tướng Chính phủ quyết định.</w:t>
            </w:r>
          </w:p>
          <w:p w14:paraId="0156509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4. Ngân hàng Nhà nước hướng dẫn cơ sở in, đúc tiền quản lý từng loại tiền in, đúc; hướng dẫn và giám sát các cơ sở in, đúc tiền thực </w:t>
            </w:r>
            <w:r w:rsidRPr="00ED5E38">
              <w:rPr>
                <w:noProof/>
                <w:color w:val="000000" w:themeColor="text1"/>
                <w:sz w:val="26"/>
                <w:szCs w:val="26"/>
                <w:lang w:val="vi-VN"/>
              </w:rPr>
              <w:lastRenderedPageBreak/>
              <w:t>hiện tiêu hủy các loại giấy in tiền hỏng, sản phẩm in, đúc hỏng.</w:t>
            </w:r>
          </w:p>
        </w:tc>
      </w:tr>
      <w:tr w:rsidR="00E36397" w:rsidRPr="00ED5E38" w14:paraId="0BB0E388"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9D062"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8C0848"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Tem bưu chính Việt nam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26935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Bưu chính số 49/2010/QH12</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F3AA2"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20 Điều 3 Luật Bưu chính quy định:</w:t>
            </w:r>
          </w:p>
          <w:p w14:paraId="2FA9446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20. Tem Bưu chính Việt Nam là ấn phẩm do cơ quan nhà nước có thẩm quyền về bưu chính của Việt Nam quyết định phát hành để thanh toán trước giá cước dịch vụ bưu chính trên mạng bưu chính công cộng và được công nhận trong mạng lưới của Liên minh Bưu chính Thế giới.</w:t>
            </w:r>
          </w:p>
        </w:tc>
      </w:tr>
      <w:tr w:rsidR="00E36397" w:rsidRPr="00ED5E38" w14:paraId="153CF8F6"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1584EB"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8DACE"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Pháo hoa và các dịch vụ liên quan đến pháo hoa</w:t>
            </w:r>
          </w:p>
          <w:p w14:paraId="030EC37E"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(Sản xuất, xuất khẩu, nhập khẩu, mua, bán, vận chuyển, tàng trữ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6E6428"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số 137/2020/NĐ-CP ngày 27 tháng 11 năm 2020 của Chính phủ quy định về quản lý, sử dụng pháo</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53E6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2 Điều 10 Nghị định số 137/2020/NĐ-CP quy định:</w:t>
            </w:r>
          </w:p>
          <w:p w14:paraId="5A37441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Thủ tướng Chính phủ quyết định tổ chức, doanh nghiệp thuộc Bộ Quốc phòng được phép nghiên cứu, sản xuất, xuất khẩu, nhập khẩu, cung cấp pháo hoa nổ theo đơn đặt hàng của cơ quan nhà nước và đề nghị của Bộ trưởng Bộ Quốc phòng. Việc cung cấp cho các cơ quan, tổ chức được phép sử dụng pháo hoa nổ chỉ được thực hiện trong các trường hợp quy định tại Điều 11 Nghị định này.</w:t>
            </w:r>
          </w:p>
        </w:tc>
      </w:tr>
      <w:tr w:rsidR="00E36397" w:rsidRPr="00ED5E38" w14:paraId="440921E2"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27A279"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90E323"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Truyền tải, điều độ hệ thống điện quốc gia; Xây dựng và vận hành thủy điện đa mục tiêu và điện hạt nhân có ý nghĩa đặc biệt quan trọng về kinh tế - xã hội.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66DC2"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Điện lực</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8DA69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2 Điều 5 Luật Điện lực quy định :</w:t>
            </w:r>
          </w:p>
          <w:p w14:paraId="583C8CA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Nhà nước độc quyền trong các hoạt động sau đây vì mục đích bảo đảm an ninh năng lượng quốc gia:</w:t>
            </w:r>
          </w:p>
          <w:p w14:paraId="25EDADE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Điều độ hệ thống điện quốc gia;</w:t>
            </w:r>
          </w:p>
          <w:p w14:paraId="2A36383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Đầu tư xây dựng và vận hành dự án nhà máy điện hạt nhân, nhà máy thủy điện chiến lược đa mục tiêu, lưới điện truyền tải quan trọng từ cấp điện áp 220 kV trở lên theo danh mục do Thủ tướng Chính phủ quyết định;</w:t>
            </w:r>
          </w:p>
          <w:p w14:paraId="7D1744A8"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Vận hành lưới điện truyền tải, trừ lưới điện truyền tải do các thành phần kinh tế ngoài nhà nước đầu tư xây dựng.”</w:t>
            </w:r>
          </w:p>
          <w:p w14:paraId="00B1E77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r>
      <w:tr w:rsidR="00E36397" w:rsidRPr="00ED5E38" w14:paraId="79ACDDA8"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5C5A7"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5C61D9"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Dịch vụ công ích bảo đảm an toàn hàng hải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294E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số 70/2016/NĐ-CP (được sửa đổi, bổ sung bởi Nghị định  số 147/2018/NĐ-CP và Nghị định số 14/2026/NĐ-CP)</w:t>
            </w:r>
          </w:p>
          <w:p w14:paraId="64B832C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p w14:paraId="098188C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873B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Điều 5 Nghị định số 70/2016/NĐ-CP (được sửa đổi, bổ sung bởi Nghị định  số 147/2018/NĐ-CP và Nghị định số 14/2026/NĐ-CP)</w:t>
            </w:r>
          </w:p>
          <w:p w14:paraId="472BE2E9"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Doanh nghiệp cung cấp dịch vụ thiết lập, vận hành, duy trì, bảo trì báo hiệu hàng hải, khu nước, vùng nước, luồng hàng hải công cộng và tuyến hàng hải là doanh nghiệp do Nhà nước nắm giữ 100% vốn điều lệ; được Bộ </w:t>
            </w:r>
            <w:r w:rsidRPr="00ED5E38">
              <w:rPr>
                <w:noProof/>
                <w:color w:val="000000" w:themeColor="text1"/>
                <w:sz w:val="26"/>
                <w:szCs w:val="26"/>
                <w:lang w:val="vi-VN"/>
              </w:rPr>
              <w:lastRenderedPageBreak/>
              <w:t>trưởng Bộ Xây dựng phê duyệt điều lệ tổ chức và hoạt động</w:t>
            </w:r>
          </w:p>
        </w:tc>
      </w:tr>
      <w:tr w:rsidR="00E36397" w:rsidRPr="00ED5E38" w14:paraId="5D215DB3"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C06E23"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4E3B83"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Dịch vụ công ích thông tin duyên hải</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4DE1B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Nghị định 58/2017/NĐ-CP quy định chi tiết một số điều của Bộ Luật Hàng hải Việt Nam về quản lý hoạt động hàng hải</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D9DEA2"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59. Truyền phát thông báo hàng hải</w:t>
            </w:r>
          </w:p>
          <w:p w14:paraId="7F3ED7EC"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Thông báo hàng hải sau khi được công bố phải gửi ngay đến Cục Hàng hải Việt Nam, Cảng vụ hàng hải có liên quan, tổ chức hoa tiêu hàng hải có liên quan, Công ty trách nhiệm hữu hạn một thành viên Thông tin điện tử hàng hải Việt Nam và các tổ chức, cá nhân liên quan bằng văn bản hoặc bằng phương thức điện tử phù hợp.</w:t>
            </w:r>
          </w:p>
          <w:p w14:paraId="28EE683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Công ty trách nhiệm hữu hạn một thành viên Thông tin điện tử hàng hải Việt Nam có trách nhiệm truyền phát trên hệ thống các đài Thông tin duyên hải Việt Nam các thông báo hàng hải bằng tiếng Việt và tiếng Anh theo các phương thức thông tin phù hợp. Việc truyền phát thông báo hàng hải theo Mẫu số 32 quy định tại Phụ lục ban hành kèm theo Nghị định này.</w:t>
            </w:r>
          </w:p>
        </w:tc>
      </w:tr>
      <w:tr w:rsidR="00E36397" w:rsidRPr="00ED5E38" w14:paraId="0B793FCC"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1473B1"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73B11"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Bảo đảm hoạt động bay</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1FF59"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Hàng không dân dụng Việt Nam số 130/2025/QH15</w:t>
            </w:r>
          </w:p>
          <w:p w14:paraId="74FDE30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C753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47. Bảo đảm hoạt động bay</w:t>
            </w:r>
          </w:p>
          <w:p w14:paraId="522A876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Dịch vụ bảo đảm hoạt động bay là dịch vụ công ích, bao gồm các dịch vụ sau đây:</w:t>
            </w:r>
          </w:p>
          <w:p w14:paraId="4498E63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Quản lý không lưu;</w:t>
            </w:r>
          </w:p>
          <w:p w14:paraId="38C397A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Thông tin, dẫn đường, giám sát hoạt động bay;</w:t>
            </w:r>
          </w:p>
          <w:p w14:paraId="429CCD4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Khí tượng hàng không;</w:t>
            </w:r>
          </w:p>
          <w:p w14:paraId="147D370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d) Tin tức hàng không;</w:t>
            </w:r>
          </w:p>
          <w:p w14:paraId="22B4CD8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 Tìm kiếm, cứu nạn hàng không.</w:t>
            </w:r>
          </w:p>
          <w:p w14:paraId="0D3D808C"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Nhà nước có trách nhiệm thiết lập, tổ chức doanh nghiệp để cung cấp dịch vụ quy định tại khoản 1 Điều này. Dịch vụ quy định tại điểm a và điểm d khoản 1 Điều này được thực hiện bởi doanh nghiệp do Nhà nước nắm giữ 100% vốn điều lệ.</w:t>
            </w:r>
          </w:p>
        </w:tc>
      </w:tr>
      <w:tr w:rsidR="00E36397" w:rsidRPr="00ED5E38" w14:paraId="121339B8"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912CC8"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6FCCEB"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Hệ thống kết cấu hạ tầng đường sắt quốc gia ,đường sắt đô thị do Nhà nước đầu tư</w:t>
            </w:r>
          </w:p>
          <w:p w14:paraId="75155286"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 xml:space="preserve">(Quản lý, khai thác hệ thống kết cấu hạ tầng đường sắt; không bao gồm bảo trì kết </w:t>
            </w:r>
            <w:r w:rsidRPr="00ED5E38">
              <w:rPr>
                <w:noProof/>
                <w:color w:val="000000" w:themeColor="text1"/>
                <w:sz w:val="26"/>
                <w:szCs w:val="26"/>
                <w:lang w:val="vi-VN"/>
              </w:rPr>
              <w:lastRenderedPageBreak/>
              <w:t>cấu hạ tầng đường sắt)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C1F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Luật Đường sắt số: 95/2025/QH15</w:t>
            </w:r>
          </w:p>
          <w:p w14:paraId="341CC7C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89C6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4 Điều 46 Luật Đường sắt</w:t>
            </w:r>
          </w:p>
          <w:p w14:paraId="6404A1A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4. Doanh nghiệp kinh doanh vận tải đường sắt trả phí sử dụng kết cấu hạ tầng đường sắt cho Nhà nước khi sử dụng tài sản kết cấu hạ tầng đường sắt quốc gia do Nhà nước đầu tư để kinh doanh vận tải đường sắt theo quy định của pháp luật về phí, lệ phí.</w:t>
            </w:r>
          </w:p>
          <w:p w14:paraId="20B9C6FA"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p>
        </w:tc>
      </w:tr>
      <w:tr w:rsidR="00E36397" w:rsidRPr="00ED5E38" w14:paraId="4B95B738"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99F39B"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337C8"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 xml:space="preserve">Hệ thống công trình thủy lợi, thủy nông liên tỉnh, liên huyện, kè đá lấn biển </w:t>
            </w:r>
          </w:p>
          <w:p w14:paraId="711FCF84"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 xml:space="preserve">(Quản lý, khai thác trong trường hợp giao kế hoạch)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8EF5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Thuỷ lợi số 08/2017/QH14</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B1D3B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11 Điều 2</w:t>
            </w:r>
          </w:p>
          <w:p w14:paraId="1113CC8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11. Chủ quản lý công trình thủy lợi là cơ quan chuyên môn thực hiện chức năng quản lý nhà nước về thủy lợi thuộc Bộ Nông nghiệp và Phát triển nông thôn, Ủy ban nhân dân các cấp hoặc tổ chức được Nhà nước giao quyền, trách nhiệm đại diện chủ sở hữu; tổ chức thủy lợi cơ sở; tổ chức, cá nhân tự đầu tư xây dựng công trình thủy lợi.</w:t>
            </w:r>
          </w:p>
          <w:p w14:paraId="3F992D1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2 Điều 15 :” 2. Nhà nước đầu tư xây dựng công trình thủy lợi quan trọng đặc biệt, công trình thủy lợi lớn, công trình thủy lợi khó huy động các nguồn lực xã hội, hồ chứa nước ở vùng khan hiếm nước; công trình thủy lợi kết hợp phục vụ quốc phòng, an ninh, phòng, chống thiên tai; công trình thủy lợi ở vùng đồng bào dân tộc thiểu số, miền núi, hải đảo, vùng có điều kiện kinh tế - xã hội đặc biệt khó khăn, vùng bị ảnh hưởng lớn của biến đổi khí hậu.”</w:t>
            </w:r>
          </w:p>
          <w:p w14:paraId="7264402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1 Điều 21</w:t>
            </w:r>
          </w:p>
          <w:p w14:paraId="0AFDB565"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Đối với công trình thủy lợi sử dụng vốn nhà nước, trách nhiệm quản lý công trình thủy lợi được quy định như sau:</w:t>
            </w:r>
          </w:p>
          <w:p w14:paraId="4224912C"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Bộ Nông nghiệp và Môi trường quản lý công trình thủy lợi quan trọng đặc biệt;</w:t>
            </w:r>
          </w:p>
          <w:p w14:paraId="0FE228A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Bộ Nông nghiệp và Môi trường, Ủy ban nhân dân cấp tỉnh quản lý công trình thủy lợi mà việc khai thác và bảo vệ liên quan đến 02 đơn vị hành chính cấp tỉnh trở lên theo danh mục do Bộ trưởng Bộ Nông nghiệp và Môi trường quy định;</w:t>
            </w:r>
          </w:p>
          <w:p w14:paraId="723DE561"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c) Ủy ban nhân dân cấp tỉnh quản lý hoặc phân cấp cho Ủy ban nhân dân cấp xã quản lý công trình thủy lợi trên địa bàn căn cứ vào điều kiện cụ thể của từng địa phương, trừ trường hợp quy định tại điểm a, điểm b khoản này.</w:t>
            </w:r>
          </w:p>
        </w:tc>
      </w:tr>
      <w:tr w:rsidR="00E36397" w:rsidRPr="00ED5E38" w14:paraId="34204F33"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2B849"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84934D"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Dịch vụ lâm nghiệp tại rừng đặc dụng</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3AF1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Nghị định 118/2014/NĐ-CP về sắp xếp, đổi mới và phát triển, nâng cao hiệu quả hoạt </w:t>
            </w:r>
            <w:r w:rsidRPr="00ED5E38">
              <w:rPr>
                <w:noProof/>
                <w:color w:val="000000" w:themeColor="text1"/>
                <w:sz w:val="26"/>
                <w:szCs w:val="26"/>
                <w:lang w:val="vi-VN"/>
              </w:rPr>
              <w:lastRenderedPageBreak/>
              <w:t>động của công ty nông, lâm nghiệp</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0CF17"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Điều 4. Duy trì, củng cố và phát triển công ty nông nghiệp Nhà nước nắm giữ 100% vốn điều lệ</w:t>
            </w:r>
          </w:p>
          <w:p w14:paraId="0C8565A6"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Duy trì, củng cố, phát triển và tái cơ cấu công ty nông nghiệp Nhà nước nắm giữ 100% vốn điều lệ gồm các công ty nông nghiệp tại các </w:t>
            </w:r>
            <w:r w:rsidRPr="00ED5E38">
              <w:rPr>
                <w:noProof/>
                <w:color w:val="000000" w:themeColor="text1"/>
                <w:sz w:val="26"/>
                <w:szCs w:val="26"/>
                <w:lang w:val="vi-VN"/>
              </w:rPr>
              <w:lastRenderedPageBreak/>
              <w:t>địa bàn chiến lược, vùng biên giới, vùng sâu, vùng xa gắn với nhiệm vụ quốc phòng, an ninh.</w:t>
            </w:r>
          </w:p>
          <w:p w14:paraId="74993EE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8. Duy trì, củng cố và phát triển công ty lâm nghiệp Nhà nước nắm giữ 100% vốn điều lệ</w:t>
            </w:r>
          </w:p>
          <w:p w14:paraId="3610486B"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Duy trì, củng cố, phát triển và tái cơ cấu công ty lâm nghiệp có diện tích rừng sản xuất là rừng tự nhiên giàu và trung bình từ 70% diện tích đất được giao, thuê trở lên và đã được cơ quan nhà nước có thẩm quyền phê duyệt phương án quản lý rừng bền vững, được cấp chứng chỉ rừng quốc tế về quản lý rừng bền vững thực hiện nhiệm vụ sản xuất kinh doanh sau khi được Thủ tướng Chính phủ chấp thuận.</w:t>
            </w:r>
          </w:p>
          <w:p w14:paraId="29B6F26F"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2. Duy trì, củng cố, phát triển và tái cơ cấu công ty lâm nghiệp có diện tích rừng sản xuất là rừng tự nhiên chưa được cơ quan nhà nước có thẩm quyền phê duyệt phương án quản lý rừng bền vững và chưa được cấp chứng chỉ rừng quốc tế về quản lý rừng bền vững, rừng phòng hộ, rừng đặc dụng từ 70% diện tích đất được giao, thuê trở lên thực hiện nhiệm vụ sản xuất và cung ứng sản phẩm, dịch vụ công ích.</w:t>
            </w:r>
          </w:p>
          <w:p w14:paraId="6A7F63B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3. Chuyển thành ban quản lý rừng phòng hộ hoạt động theo cơ chế đơn vị sự nghiệp công lập có thu đối với công ty lâm nghiệp Nhà nước nắm giữ 100% vốn điều lệ có diện tích rừng phòng hộ tập trung từ 70% diện tích đất được giao, thuê trở lên. Việc tổ chức quản lý, bảo vệ và phát triển rừng phòng hộ thực hiện theo Quy chế quản lý rừng phòng hộ.</w:t>
            </w:r>
          </w:p>
        </w:tc>
      </w:tr>
      <w:tr w:rsidR="00E36397" w:rsidRPr="00ED5E38" w14:paraId="2EBB59F4"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8B1F75"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42B3BB"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Xuất bản phẩm</w:t>
            </w:r>
          </w:p>
          <w:p w14:paraId="43F5D9CF"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Xuất bản (không bao gồm lĩnh vực in và phát hành xuất bản phẩm).</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B1C1FA"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Xuất bản số: 19/2012/QH13</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6B5D4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12. Đối tượng thành lập nhà xuất bản và loại hình tổ chức nhà xuất bản</w:t>
            </w:r>
          </w:p>
          <w:p w14:paraId="08E53A6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 Cơ quan, tổ chức sau đây được thành lập nhà xuất bản (sau đây gọi chung là cơ quan chủ quản nhà xuất bản):</w:t>
            </w:r>
          </w:p>
          <w:p w14:paraId="5CFDD582"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a) Cơ quan nhà nước, tổ chức chính trị, tổ chức chính trị - xã hội ở trung ương và cấp tỉnh;</w:t>
            </w:r>
          </w:p>
          <w:p w14:paraId="10F4CB80"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b) Đơn vị sự nghiệp công lập ở trung ương, tổ chức chính trị - xã hội - nghề nghiệp ở trung ương trực tiếp sáng tạo ra tác phẩm và tài liệu khoa học, học thuật.</w:t>
            </w:r>
          </w:p>
          <w:p w14:paraId="1A2F96DD"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2. Nhà xuất bản tổ chức và hoạt động theo loại hình đơn vị sự nghiệp công lập hoặc doanh nghiệp kinh doanh có điều kiện do Nhà nước là chủ sở hữu.</w:t>
            </w:r>
          </w:p>
        </w:tc>
      </w:tr>
      <w:tr w:rsidR="00E36397" w:rsidRPr="00ED5E38" w14:paraId="79BEC2F1" w14:textId="77777777" w:rsidTr="007A7754">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76ABEC" w14:textId="77777777" w:rsidR="00E36397" w:rsidRPr="00ED5E38" w:rsidRDefault="00E36397" w:rsidP="003E4449">
            <w:pPr>
              <w:pStyle w:val="ListParagraph"/>
              <w:numPr>
                <w:ilvl w:val="0"/>
                <w:numId w:val="3"/>
              </w:numPr>
              <w:spacing w:before="60" w:after="60" w:line="240" w:lineRule="auto"/>
              <w:ind w:hanging="1418"/>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AE651C"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Mạng bưu chính công cộng</w:t>
            </w:r>
          </w:p>
          <w:p w14:paraId="3869BDFC" w14:textId="77777777" w:rsidR="00E36397" w:rsidRPr="00ED5E38" w:rsidRDefault="00E36397" w:rsidP="003E4449">
            <w:pPr>
              <w:pStyle w:val="NormalWeb"/>
              <w:spacing w:before="60" w:beforeAutospacing="0" w:after="60" w:afterAutospacing="0"/>
              <w:ind w:firstLine="34"/>
              <w:jc w:val="both"/>
              <w:rPr>
                <w:noProof/>
                <w:color w:val="000000" w:themeColor="text1"/>
                <w:sz w:val="26"/>
                <w:szCs w:val="26"/>
                <w:lang w:val="vi-VN"/>
              </w:rPr>
            </w:pPr>
            <w:r w:rsidRPr="00ED5E38">
              <w:rPr>
                <w:noProof/>
                <w:color w:val="000000" w:themeColor="text1"/>
                <w:sz w:val="26"/>
                <w:szCs w:val="26"/>
                <w:lang w:val="vi-VN"/>
              </w:rPr>
              <w:t>(Quản lý, duy trì, khai thác)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A4C14"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Luật Bưu chính số 49/2010/QH12</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358BCE"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Khoản 10 Điều 3 Luật Bưu chính quy định:</w:t>
            </w:r>
          </w:p>
          <w:p w14:paraId="2441574C"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10. Mạng bưu chính công cộng là mạng bưu chính do Nhà nước đầu tư và giao cho doanh nghiệp được chỉ định quản lý, khai thác.</w:t>
            </w:r>
          </w:p>
        </w:tc>
      </w:tr>
      <w:tr w:rsidR="00E36397" w:rsidRPr="00ED5E38" w14:paraId="1DFCDA4D" w14:textId="77777777" w:rsidTr="003E4449">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98A91" w14:textId="77777777" w:rsidR="00E36397" w:rsidRPr="00ED5E38" w:rsidRDefault="00E36397" w:rsidP="003E4449">
            <w:pPr>
              <w:pStyle w:val="ListParagraph"/>
              <w:numPr>
                <w:ilvl w:val="0"/>
                <w:numId w:val="3"/>
              </w:numPr>
              <w:spacing w:before="60" w:after="60" w:line="240" w:lineRule="auto"/>
              <w:ind w:hanging="1440"/>
              <w:jc w:val="both"/>
              <w:rPr>
                <w:rFonts w:ascii="Times New Roman" w:eastAsia="Times New Roman" w:hAnsi="Times New Roman"/>
                <w:noProof/>
                <w:color w:val="000000" w:themeColor="text1"/>
                <w:sz w:val="26"/>
                <w:szCs w:val="26"/>
                <w:lang w:val="vi-VN"/>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55AF9E" w14:textId="410DFCEB"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Dịch vụ công ích trong hoạt động phát hành báo chí</w:t>
            </w:r>
          </w:p>
          <w:p w14:paraId="683F4385" w14:textId="77777777" w:rsidR="00E36397" w:rsidRPr="00ED5E38" w:rsidRDefault="00E36397" w:rsidP="003E4449">
            <w:pPr>
              <w:pStyle w:val="NormalWeb"/>
              <w:spacing w:before="60" w:beforeAutospacing="0" w:after="60" w:afterAutospacing="0"/>
              <w:ind w:firstLine="34"/>
              <w:jc w:val="center"/>
              <w:rPr>
                <w:noProof/>
                <w:color w:val="000000" w:themeColor="text1"/>
                <w:sz w:val="26"/>
                <w:szCs w:val="26"/>
                <w:lang w:val="vi-VN"/>
              </w:rPr>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0E40B9" w14:textId="77777777" w:rsidR="00E36397" w:rsidRPr="00ED5E38" w:rsidRDefault="00E36397" w:rsidP="003E4449">
            <w:pPr>
              <w:pStyle w:val="NormalWeb"/>
              <w:spacing w:before="60" w:beforeAutospacing="0" w:after="60" w:afterAutospacing="0"/>
              <w:ind w:firstLine="38"/>
              <w:jc w:val="both"/>
              <w:rPr>
                <w:noProof/>
                <w:color w:val="000000" w:themeColor="text1"/>
                <w:sz w:val="26"/>
                <w:szCs w:val="26"/>
                <w:lang w:val="vi-VN"/>
              </w:rPr>
            </w:pPr>
            <w:r w:rsidRPr="00ED5E38">
              <w:rPr>
                <w:noProof/>
                <w:color w:val="000000" w:themeColor="text1"/>
                <w:sz w:val="26"/>
                <w:szCs w:val="26"/>
                <w:lang w:val="vi-VN"/>
              </w:rPr>
              <w:t>Thông tư 20/2016/TT-BTTTT hướng dẫn chi tiết thi hành Quyết định số 45/2016/QĐ-TTg ngày 24 tháng 9 năm 2015 của thủ tướng chính phủ về cung ứng dịch vụ bưu chính công ích và dịch vụ công ích trong hoạt động phát hành báo chí</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D5D943" w14:textId="77777777" w:rsidR="00E36397" w:rsidRPr="00ED5E38" w:rsidRDefault="00E36397" w:rsidP="003E4449">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Điều 3. Dịch vụ công ích trong hoạt động phát hành báo chí</w:t>
            </w:r>
            <w:r w:rsidRPr="00ED5E38">
              <w:rPr>
                <w:noProof/>
                <w:color w:val="000000" w:themeColor="text1"/>
                <w:sz w:val="26"/>
                <w:szCs w:val="26"/>
                <w:lang w:val="vi-VN"/>
              </w:rPr>
              <w:br/>
            </w:r>
            <w:r w:rsidRPr="00ED5E38">
              <w:rPr>
                <w:noProof/>
                <w:color w:val="000000" w:themeColor="text1"/>
                <w:sz w:val="26"/>
                <w:szCs w:val="26"/>
                <w:lang w:val="vi-VN"/>
              </w:rPr>
              <w:br/>
              <w:t>Dịch vụ công ích trong hoạt động phát hành báo chí là dịch vụ phát hành các loại báo Nhân dân, Quân đội Nhân dân, Tạp chí Cộng sản, Báo của Đảng bộ các tỉnh, thành phố trực thuộc Trung ương qua mạng bưu chính công cộng</w:t>
            </w:r>
          </w:p>
        </w:tc>
      </w:tr>
    </w:tbl>
    <w:p w14:paraId="6199D6CD" w14:textId="77777777" w:rsidR="00E36397" w:rsidRPr="00ED5E38" w:rsidRDefault="00E36397"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Nghị định số 94/2017/NĐ-CP quy định 20 hàng hóa, dịch vụ thuộc danh mục độc quyền nhà nước. Theo quy định hiện hành, Nhà nước đã bãi bỏ độc quyền đối với hoạt động sản xuất, xuất khẩu vàng nguyên liệu và nhập khẩu vàng nguyên liệu để sản xuất vàng miếng (02/20 hàng hóa). Như vậy, hiện còn 18 hàng hóa, dịch vụ thuộc danh mục độc quyền nhà nước.</w:t>
      </w:r>
    </w:p>
    <w:p w14:paraId="65D265D0" w14:textId="77777777" w:rsidR="00E36397" w:rsidRPr="00ED5E38" w:rsidRDefault="00E36397"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Trường hợp bãi bỏ Nghị định số 94/2017/NĐ-CP thì các quy định về độc quyền nhà nước vẫn đang được quy định tại các luật chuyên ngành, gồm: Luật Quản lý, sử dụng vũ khí, vật liệu nổ và công cụ hỗ trợ; Luật Dự trữ quốc gia; Luật Bưu chính; Luật Điện lực; Luật Hàng không dân dụng Việt Nam; Luật Đường sắt; Luật Thủy lợi; Luật Xuất bản (09/18 hàng hóa, dịch vụ, chiếm 50% danh mục).</w:t>
      </w:r>
    </w:p>
    <w:p w14:paraId="11C27381" w14:textId="5398D99E" w:rsidR="00E36397" w:rsidRPr="00ED5E38" w:rsidRDefault="00E36397"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Đối với 09 hàng hóa, dịch vụ còn lại, cần nghiên cứu sửa đổi, bổ sung quy định về độc quyền nhà nước trong các luật chuyên ngành tương ứng để bảo đảm cơ sở pháp lý đầy đủ và thống nhất.</w:t>
      </w:r>
    </w:p>
    <w:p w14:paraId="4E7BD223" w14:textId="5E3AD321" w:rsidR="00537DD6" w:rsidRPr="00ED5E38" w:rsidRDefault="00537DD6"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Qua rà soát hệ thống pháp luật hiện hành cho thấy, các lĩnh vực độc quyền nhà nước tại Việt Nam hiện nay được quy định mang tính nguyên tắc tại Luật Thương mại và giao cho Chính phủ quy định chi tiết tại Nghị định 94/2017/NĐ-CP.</w:t>
      </w:r>
    </w:p>
    <w:p w14:paraId="7F3955A0" w14:textId="77777777" w:rsidR="00537DD6" w:rsidRPr="00ED5E38" w:rsidRDefault="00537DD6"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rStyle w:val="Strong"/>
          <w:b w:val="0"/>
          <w:bCs w:val="0"/>
          <w:noProof/>
          <w:color w:val="000000" w:themeColor="text1"/>
          <w:sz w:val="26"/>
          <w:szCs w:val="26"/>
          <w:lang w:val="vi-VN"/>
        </w:rPr>
        <w:t xml:space="preserve">Song song với Nghị định </w:t>
      </w:r>
      <w:r w:rsidRPr="00ED5E38">
        <w:rPr>
          <w:noProof/>
          <w:color w:val="000000" w:themeColor="text1"/>
          <w:sz w:val="26"/>
          <w:szCs w:val="26"/>
          <w:lang w:val="vi-VN"/>
        </w:rPr>
        <w:t>này,</w:t>
      </w:r>
      <w:r w:rsidRPr="00ED5E38">
        <w:rPr>
          <w:rStyle w:val="Strong"/>
          <w:b w:val="0"/>
          <w:bCs w:val="0"/>
          <w:noProof/>
          <w:color w:val="000000" w:themeColor="text1"/>
          <w:sz w:val="26"/>
          <w:szCs w:val="26"/>
          <w:lang w:val="vi-VN"/>
        </w:rPr>
        <w:t xml:space="preserve"> nội dung cụ thể về độc quyền nhà nước trong từng lĩnh vực được quy định </w:t>
      </w:r>
      <w:r w:rsidRPr="00ED5E38">
        <w:rPr>
          <w:noProof/>
          <w:color w:val="000000" w:themeColor="text1"/>
          <w:sz w:val="26"/>
          <w:szCs w:val="26"/>
          <w:lang w:val="vi-VN"/>
        </w:rPr>
        <w:t>tại</w:t>
      </w:r>
      <w:r w:rsidRPr="00ED5E38">
        <w:rPr>
          <w:b/>
          <w:bCs/>
          <w:noProof/>
          <w:color w:val="000000" w:themeColor="text1"/>
          <w:sz w:val="26"/>
          <w:szCs w:val="26"/>
          <w:lang w:val="vi-VN"/>
        </w:rPr>
        <w:t xml:space="preserve"> </w:t>
      </w:r>
      <w:r w:rsidRPr="00ED5E38">
        <w:rPr>
          <w:rStyle w:val="Strong"/>
          <w:b w:val="0"/>
          <w:bCs w:val="0"/>
          <w:noProof/>
          <w:color w:val="000000" w:themeColor="text1"/>
          <w:sz w:val="26"/>
          <w:szCs w:val="26"/>
          <w:lang w:val="vi-VN"/>
        </w:rPr>
        <w:t>nhiều N</w:t>
      </w:r>
      <w:r w:rsidRPr="00ED5E38">
        <w:rPr>
          <w:noProof/>
          <w:color w:val="000000" w:themeColor="text1"/>
          <w:sz w:val="26"/>
          <w:szCs w:val="26"/>
          <w:lang w:val="vi-VN"/>
        </w:rPr>
        <w:t>ghị định.</w:t>
      </w:r>
    </w:p>
    <w:p w14:paraId="5596D99A" w14:textId="7D870846" w:rsidR="00537DD6" w:rsidRPr="00ED5E38" w:rsidRDefault="00537DD6"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Nhiều Nghị định có nội dung quy định về độc quyền nhà nước căn cứ trực tiếp vào các luật chuyên ngành (như Luật Điện lực,  Luật Bưu chính, Luật Quản lý, sử dụng </w:t>
      </w:r>
      <w:r w:rsidRPr="00ED5E38">
        <w:rPr>
          <w:noProof/>
          <w:color w:val="000000" w:themeColor="text1"/>
          <w:sz w:val="26"/>
          <w:szCs w:val="26"/>
          <w:lang w:val="vi-VN"/>
        </w:rPr>
        <w:lastRenderedPageBreak/>
        <w:t xml:space="preserve">vũ khí, vật liệu nổ, Luật Đường sắt, v.v.), không căn cứ vào Luật Thương mại để xác lập nội dung độc quyền. </w:t>
      </w:r>
    </w:p>
    <w:p w14:paraId="1726DA2A" w14:textId="77777777" w:rsidR="00537DD6" w:rsidRPr="00ED5E38" w:rsidRDefault="00537DD6"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Luật Thương mại năm 2005 chỉ dừng lại ở việc ghi nhận nguyên tắc chung về thực hiện độc quyền nhà nước, không phải là cơ sở pháp lý trực tiếp xác định cụ thể cơ chế độc quyền nhà nước cụ thể theo từng lĩnh vực, hàng hóa, dịch vụ có tính chất, đặc thù quản lý khác nhau, ví dụ điều độ hệ thống điện, nhập khẩu vàng miếng, sản xuất vũ khí, in tiền, đúc tiền…</w:t>
      </w:r>
    </w:p>
    <w:p w14:paraId="488C4257" w14:textId="77777777" w:rsidR="00537DD6" w:rsidRPr="00ED5E38" w:rsidRDefault="00537DD6" w:rsidP="00E13FB9">
      <w:pPr>
        <w:pStyle w:val="NormalWeb"/>
        <w:spacing w:before="120" w:beforeAutospacing="0" w:after="120" w:afterAutospacing="0" w:line="340" w:lineRule="exact"/>
        <w:ind w:firstLine="709"/>
        <w:jc w:val="both"/>
        <w:rPr>
          <w:noProof/>
          <w:color w:val="000000" w:themeColor="text1"/>
          <w:sz w:val="26"/>
          <w:szCs w:val="26"/>
          <w:lang w:val="vi-VN"/>
        </w:rPr>
      </w:pPr>
      <w:r w:rsidRPr="00ED5E38">
        <w:rPr>
          <w:noProof/>
          <w:color w:val="000000" w:themeColor="text1"/>
          <w:sz w:val="26"/>
          <w:szCs w:val="26"/>
          <w:lang w:val="vi-VN"/>
        </w:rPr>
        <w:t>Do vậy, việc sửa đổi Luật Thương mại theo hướng trên dẫn đến các quy định độc quyền nhà nước trong lĩnh vực chuyên ngành cần phải được thể chế hóa tại văn bản Luật chuyên ngành tương ứng (nếu Luật đó chưa xác định cơ chế độc quyền cụ thể cho hàng hóa dịch vụ đó).</w:t>
      </w:r>
    </w:p>
    <w:p w14:paraId="47D9EF94" w14:textId="77777777" w:rsidR="00537DD6" w:rsidRPr="00ED5E38" w:rsidRDefault="00537DD6" w:rsidP="00E13FB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 Về việc bãi bỏ nội dung về hợp đồng và giải quyết tranh chấp tại Luật Thương mại: </w:t>
      </w:r>
    </w:p>
    <w:p w14:paraId="0EC8D0CB" w14:textId="77777777" w:rsidR="00537DD6" w:rsidRPr="00ED5E38" w:rsidRDefault="00537DD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Các quy định về hợp đồng và giải quyết tranh chấp trong Luật Thương mại có nội dung trùng lặp, tương đồng về bản chất pháp lý với các quy định chung về hợp đồng trong Luật Dân sự. Để bảo đảm tính thống nhất, đồng bộ của hệ thống pháp luật và khẳng định vai trò trung tâm của Luật Dân sự trong điều chỉnh quan hệ hợp đồng, dự thảo Luật đề xuất bãi bỏ nội dung về hợp đồng và giải quyết tranh chấp tại Luật Thương mại.</w:t>
      </w:r>
    </w:p>
    <w:p w14:paraId="48FEAEEC" w14:textId="731CD948" w:rsidR="00537DD6" w:rsidRPr="00ED5E38" w:rsidRDefault="00E36397"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+Về</w:t>
      </w:r>
      <w:r w:rsidR="00537DD6" w:rsidRPr="00ED5E38">
        <w:rPr>
          <w:noProof/>
          <w:color w:val="000000" w:themeColor="text1"/>
          <w:sz w:val="26"/>
          <w:szCs w:val="26"/>
          <w:lang w:val="vi-VN"/>
        </w:rPr>
        <w:t xml:space="preserve"> tính hợp hiến</w:t>
      </w:r>
      <w:r w:rsidRPr="00ED5E38">
        <w:rPr>
          <w:noProof/>
          <w:color w:val="000000" w:themeColor="text1"/>
          <w:sz w:val="26"/>
          <w:szCs w:val="26"/>
          <w:lang w:val="vi-VN"/>
        </w:rPr>
        <w:t>:</w:t>
      </w:r>
      <w:r w:rsidR="00537DD6" w:rsidRPr="00ED5E38">
        <w:rPr>
          <w:noProof/>
          <w:color w:val="000000" w:themeColor="text1"/>
          <w:sz w:val="26"/>
          <w:szCs w:val="26"/>
          <w:lang w:val="vi-VN"/>
        </w:rPr>
        <w:t xml:space="preserve"> Hiến pháp năm 2013 khẳng định nguyên tắc xây dựng và hoàn thiện hệ thống pháp luật Việt Nam phải bảo đảm tính thống nhất, đồng bộ, minh bạch và khả thi. Việc tồn tại các quy định trùng lặp, thiếu phân định rạch ròi giữa luật chung và luật chuyên ngành không chỉ đi ngược lại yêu cầu này mà còn có thể ảnh hưởng đến quyền và lợi ích hợp pháp của các chủ thể tham gia quan hệ hợp đồng, đặc biệt là quyền tự do kinh doanh, quyền tự do thỏa thuận – những quyền hiến định được Nhà nước bảo hộ. Do đó, việc khẳng định vai trò trung tâm của Luật Dân sự trong điều chỉnh quan hệ hợp đồng là phù hợp với tinh thần và nội dung của Hiến pháp.</w:t>
      </w:r>
    </w:p>
    <w:p w14:paraId="238C8239" w14:textId="35C532D3" w:rsidR="00E36397" w:rsidRPr="00ED5E38" w:rsidRDefault="00E36397"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w:t>
      </w:r>
      <w:r w:rsidRPr="00ED5E38">
        <w:rPr>
          <w:iCs/>
          <w:noProof/>
          <w:color w:val="000000" w:themeColor="text1"/>
          <w:sz w:val="26"/>
          <w:szCs w:val="26"/>
          <w:lang w:val="vi-VN"/>
        </w:rPr>
        <w:t xml:space="preserve">Về tính </w:t>
      </w:r>
      <w:r w:rsidRPr="00ED5E38">
        <w:rPr>
          <w:noProof/>
          <w:color w:val="000000" w:themeColor="text1"/>
          <w:sz w:val="26"/>
          <w:szCs w:val="26"/>
          <w:lang w:val="vi-VN"/>
        </w:rPr>
        <w:t>hợp pháp, tính thống nhất của chính sách với hệ thống pháp luật :</w:t>
      </w:r>
    </w:p>
    <w:p w14:paraId="6D896FE5" w14:textId="34C88F53" w:rsidR="00537DD6" w:rsidRPr="00ED5E38" w:rsidRDefault="00537DD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Luật Ban hành văn bản quy phạm pháp luật quy định rõ nguyên tắc xây dựng pháp luật phải bảo đảm không mâu thuẫn, chồng chéo và phải xác định rõ mối quan hệ giữa luật chung và luật chuyên ngành. Trong bối cảnh đó, Luật Thương mại cần được thiết kế và sửa đổi theo hướng kế thừa các quy định chung của Luật Dân sự, đồng thời chỉ bổ sung những quy định đặc thù gắn với tính chất riêng của hoạt động thương mại. Việc duy trì các quy định trùng lặp không những không cần thiết mà còn làm gia tăng chi phí tuân thủ pháp luật và giảm hiệu quả điều chỉnh của hệ thống pháp luật.</w:t>
      </w:r>
    </w:p>
    <w:p w14:paraId="3F41B7E3" w14:textId="0D2F39D9" w:rsidR="00E36397" w:rsidRPr="00ED5E38" w:rsidRDefault="00537DD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Về tính thống nhất của hệ thống pháp luật, Luật Dân sự được xác định là luật chung, có vai trò nền tảng trong việc điều chỉnh các quan hệ tài sản và quan hệ nhân thân, trong đó hợp đồng là chế định trung tâm. Luật Thương mại, với tư cách là luật chuyên ngành, chỉ nên điều chỉnh những vấn đề mang tính đặc thù của hoạt động thương </w:t>
      </w:r>
      <w:r w:rsidRPr="00ED5E38">
        <w:rPr>
          <w:noProof/>
          <w:color w:val="000000" w:themeColor="text1"/>
          <w:sz w:val="26"/>
          <w:szCs w:val="26"/>
          <w:lang w:val="vi-VN"/>
        </w:rPr>
        <w:lastRenderedPageBreak/>
        <w:t>mại. Tuy nhiên, trên thực tế, nhiều quy định của Luật Thương mại về giao kết hợp đồng, thực hiện hợp đồng, trách nhiệm do vi phạm hợp đồng hay giải quyết tranh chấp lại có nội dung tương tự, thậm chí trùng lặp với Luật Dân sự. Điều này không chỉ làm suy giảm vai trò định hướng của Luật Dân sự mà còn dẫn đến nguy cơ thiếu thống nhất trong áp dụng pháp luật, khi các chủ thể và cơ quan có thẩm quyền gặp khó khăn trong việc xác định văn bản ưu tiên áp dụng.</w:t>
      </w:r>
    </w:p>
    <w:p w14:paraId="2A101EA7" w14:textId="67CAF360" w:rsidR="00E36397" w:rsidRPr="00ED5E38" w:rsidRDefault="00E36397" w:rsidP="00E13FB9">
      <w:pPr>
        <w:spacing w:before="120" w:after="120" w:line="340" w:lineRule="exact"/>
        <w:ind w:firstLine="709"/>
        <w:jc w:val="both"/>
        <w:rPr>
          <w:b/>
          <w:bCs/>
          <w:i/>
          <w:iCs/>
          <w:noProof/>
          <w:color w:val="000000" w:themeColor="text1"/>
          <w:sz w:val="26"/>
          <w:szCs w:val="26"/>
          <w:lang w:val="vi-VN"/>
        </w:rPr>
      </w:pPr>
      <w:r w:rsidRPr="00ED5E38">
        <w:rPr>
          <w:b/>
          <w:bCs/>
          <w:i/>
          <w:iCs/>
          <w:noProof/>
          <w:color w:val="000000" w:themeColor="text1"/>
          <w:sz w:val="26"/>
          <w:szCs w:val="26"/>
          <w:lang w:val="vi-VN"/>
        </w:rPr>
        <w:t>(Chi tiết so sánh quy định về hợp đồng tại Bộ Luật dân sự 2015 và Luật Thương mại 2005 tại Phụ lục II)</w:t>
      </w:r>
    </w:p>
    <w:p w14:paraId="46D4EEFA" w14:textId="22DACEF1" w:rsidR="00537DD6" w:rsidRPr="00ED5E38" w:rsidRDefault="00537DD6" w:rsidP="00E13FB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Từ những phân tích trên có thể khẳng định rằng, việc bảo đảm tính thống nhất, đồng bộ của hệ thống pháp luật, tính hợp hiến và hợp pháp đòi hỏi phải tái cấu trúc mối quan hệ giữa Luật Dân sự và Luật Thương mại theo hướng lấy Luật Dân sự làm nền tảng chung điều chỉnh các quan hệ hợp đồng, còn Luật Thương mại giữ vai trò bổ trợ, chuyên biệt hóa. Đây không chỉ là yêu cầu mang tính kỹ thuật lập pháp mà còn là điều kiện quan trọng để nâng cao hiệu quả áp dụng pháp luật và bảo đảm an toàn pháp lý cho các chủ thể trong nền kinh tế thị trường.</w:t>
      </w:r>
    </w:p>
    <w:p w14:paraId="71E0CDA0" w14:textId="77777777" w:rsidR="00537DD6" w:rsidRPr="00ED5E38" w:rsidRDefault="00537DD6" w:rsidP="00E13FB9">
      <w:pPr>
        <w:widowControl w:val="0"/>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Bên cạnh đó phương án đề ra đồng thời tháo gỡ các khó khăn, vướng mắc do quy định của pháp luật theo Báo cáo số 76-BC/ĐU ngày 02/8/2025 của Đảng ủy Bộ Tư pháp, cụ thể:</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4"/>
        <w:gridCol w:w="4436"/>
      </w:tblGrid>
      <w:tr w:rsidR="00A156E2" w:rsidRPr="00ED5E38" w14:paraId="611924E0" w14:textId="77777777" w:rsidTr="00E13FB9">
        <w:trPr>
          <w:trHeight w:val="20"/>
        </w:trPr>
        <w:tc>
          <w:tcPr>
            <w:tcW w:w="411" w:type="pct"/>
            <w:shd w:val="clear" w:color="FFFFFF" w:fill="FFFFFF"/>
          </w:tcPr>
          <w:p w14:paraId="583D670A" w14:textId="6530E6AB" w:rsidR="00537DD6" w:rsidRPr="00ED5E38" w:rsidRDefault="00537DD6" w:rsidP="00E13FB9">
            <w:pPr>
              <w:pStyle w:val="ListParagraph"/>
              <w:widowControl w:val="0"/>
              <w:spacing w:before="60" w:after="60" w:line="240" w:lineRule="auto"/>
              <w:ind w:left="61"/>
              <w:jc w:val="center"/>
              <w:rPr>
                <w:rFonts w:ascii="Times New Roman" w:hAnsi="Times New Roman"/>
                <w:b/>
                <w:bCs/>
                <w:noProof/>
                <w:color w:val="000000" w:themeColor="text1"/>
                <w:sz w:val="26"/>
                <w:szCs w:val="26"/>
                <w:lang w:val="vi-VN"/>
              </w:rPr>
            </w:pPr>
            <w:r w:rsidRPr="00ED5E38">
              <w:rPr>
                <w:rFonts w:ascii="Times New Roman" w:hAnsi="Times New Roman"/>
                <w:b/>
                <w:bCs/>
                <w:noProof/>
                <w:color w:val="000000" w:themeColor="text1"/>
                <w:sz w:val="26"/>
                <w:szCs w:val="26"/>
                <w:lang w:val="vi-VN"/>
              </w:rPr>
              <w:t>TT</w:t>
            </w:r>
          </w:p>
        </w:tc>
        <w:tc>
          <w:tcPr>
            <w:tcW w:w="2216" w:type="pct"/>
            <w:shd w:val="clear" w:color="FFFFFF" w:fill="FFFFFF"/>
          </w:tcPr>
          <w:p w14:paraId="46A6C479" w14:textId="77777777" w:rsidR="00537DD6" w:rsidRPr="00ED5E38" w:rsidRDefault="00537DD6" w:rsidP="00E13FB9">
            <w:pPr>
              <w:widowControl w:val="0"/>
              <w:spacing w:before="60" w:after="60"/>
              <w:jc w:val="center"/>
              <w:rPr>
                <w:b/>
                <w:bCs/>
                <w:noProof/>
                <w:color w:val="000000" w:themeColor="text1"/>
                <w:sz w:val="26"/>
                <w:szCs w:val="26"/>
                <w:lang w:val="vi-VN"/>
              </w:rPr>
            </w:pPr>
            <w:r w:rsidRPr="00ED5E38">
              <w:rPr>
                <w:b/>
                <w:bCs/>
                <w:noProof/>
                <w:color w:val="000000" w:themeColor="text1"/>
                <w:sz w:val="26"/>
                <w:szCs w:val="26"/>
                <w:lang w:val="vi-VN"/>
              </w:rPr>
              <w:t>Điều , khoản, điểm, tên văn bản đề xuất xử lý</w:t>
            </w:r>
          </w:p>
        </w:tc>
        <w:tc>
          <w:tcPr>
            <w:tcW w:w="2372" w:type="pct"/>
            <w:shd w:val="clear" w:color="FFFFFF" w:fill="FFFFFF"/>
          </w:tcPr>
          <w:p w14:paraId="06CC27A2" w14:textId="77777777" w:rsidR="00537DD6" w:rsidRPr="00ED5E38" w:rsidRDefault="00537DD6" w:rsidP="00E13FB9">
            <w:pPr>
              <w:widowControl w:val="0"/>
              <w:spacing w:before="60" w:after="60"/>
              <w:jc w:val="center"/>
              <w:rPr>
                <w:b/>
                <w:bCs/>
                <w:noProof/>
                <w:color w:val="000000" w:themeColor="text1"/>
                <w:sz w:val="26"/>
                <w:szCs w:val="26"/>
                <w:lang w:val="vi-VN"/>
              </w:rPr>
            </w:pPr>
            <w:r w:rsidRPr="00ED5E38">
              <w:rPr>
                <w:b/>
                <w:bCs/>
                <w:noProof/>
                <w:color w:val="000000" w:themeColor="text1"/>
                <w:sz w:val="26"/>
                <w:szCs w:val="26"/>
                <w:lang w:val="vi-VN"/>
              </w:rPr>
              <w:t>Nội dung quy định được phản ánh mâu thuẫn, chồng chéo</w:t>
            </w:r>
          </w:p>
        </w:tc>
      </w:tr>
      <w:tr w:rsidR="00A156E2" w:rsidRPr="00ED5E38" w14:paraId="109B8811" w14:textId="77777777" w:rsidTr="00E13FB9">
        <w:trPr>
          <w:trHeight w:val="20"/>
        </w:trPr>
        <w:tc>
          <w:tcPr>
            <w:tcW w:w="411" w:type="pct"/>
            <w:shd w:val="clear" w:color="FFFFFF" w:fill="FFFFFF"/>
          </w:tcPr>
          <w:p w14:paraId="1CA899F7" w14:textId="77777777" w:rsidR="00537DD6" w:rsidRPr="00ED5E38" w:rsidRDefault="00537DD6" w:rsidP="00E13FB9">
            <w:pPr>
              <w:pStyle w:val="ListParagraph"/>
              <w:widowControl w:val="0"/>
              <w:numPr>
                <w:ilvl w:val="0"/>
                <w:numId w:val="4"/>
              </w:numPr>
              <w:spacing w:before="60" w:after="60" w:line="240" w:lineRule="auto"/>
              <w:jc w:val="both"/>
              <w:rPr>
                <w:rFonts w:ascii="Times New Roman" w:hAnsi="Times New Roman"/>
                <w:noProof/>
                <w:color w:val="000000" w:themeColor="text1"/>
                <w:sz w:val="26"/>
                <w:szCs w:val="26"/>
                <w:lang w:val="vi-VN"/>
              </w:rPr>
            </w:pPr>
          </w:p>
        </w:tc>
        <w:tc>
          <w:tcPr>
            <w:tcW w:w="2216" w:type="pct"/>
            <w:shd w:val="clear" w:color="FFFFFF" w:fill="FFFFFF"/>
          </w:tcPr>
          <w:p w14:paraId="0B27647D" w14:textId="77777777" w:rsidR="00537DD6" w:rsidRPr="00ED5E38" w:rsidRDefault="00537DD6" w:rsidP="00E13FB9">
            <w:pPr>
              <w:widowControl w:val="0"/>
              <w:spacing w:before="60" w:after="60"/>
              <w:jc w:val="both"/>
              <w:rPr>
                <w:noProof/>
                <w:color w:val="000000" w:themeColor="text1"/>
                <w:sz w:val="26"/>
                <w:szCs w:val="26"/>
                <w:lang w:val="vi-VN"/>
              </w:rPr>
            </w:pPr>
            <w:r w:rsidRPr="00ED5E38">
              <w:rPr>
                <w:noProof/>
                <w:color w:val="000000" w:themeColor="text1"/>
                <w:sz w:val="26"/>
                <w:szCs w:val="26"/>
                <w:lang w:val="vi-VN"/>
              </w:rPr>
              <w:t>Khoản 2 Điều 39 Luật Thương mại năm 2005 LTM 2005 có thể học hỏi kinh nghiệm của Công ước Viên năm 1980. Theo đó, quyền từ chối nhận hàng chỉ phát sinh trên cơ sở thỏa thuận của các bên trong những trường hợp cụ thể hoặc nếu bên mua chứng minh được hành vi giao hàng không phù hợp với hợp đồng của bên bán là hành vi vi phạm cơ bản, tức là hành vi đó gây thiệt hại cho bên mua và thiệt hại này nghiêm trọng đến mức khiến cho bên mua không đạt được mục đích của việc giao kết hợp đồng</w:t>
            </w:r>
          </w:p>
        </w:tc>
        <w:tc>
          <w:tcPr>
            <w:tcW w:w="2372" w:type="pct"/>
            <w:shd w:val="clear" w:color="FFFFFF" w:fill="FFFFFF"/>
          </w:tcPr>
          <w:p w14:paraId="0146B507" w14:textId="77777777" w:rsidR="00537DD6" w:rsidRPr="00ED5E38" w:rsidRDefault="00537DD6" w:rsidP="00E13FB9">
            <w:pPr>
              <w:widowControl w:val="0"/>
              <w:spacing w:before="60" w:after="60"/>
              <w:jc w:val="both"/>
              <w:rPr>
                <w:noProof/>
                <w:color w:val="000000" w:themeColor="text1"/>
                <w:sz w:val="26"/>
                <w:szCs w:val="26"/>
                <w:lang w:val="vi-VN"/>
              </w:rPr>
            </w:pPr>
            <w:r w:rsidRPr="00ED5E38">
              <w:rPr>
                <w:noProof/>
                <w:color w:val="000000" w:themeColor="text1"/>
                <w:sz w:val="26"/>
                <w:szCs w:val="26"/>
                <w:lang w:val="vi-VN"/>
              </w:rPr>
              <w:t>Trên thực tế, có nhiều trường hợp, khiếm khuyết được phát hiện trên hàng hóa chỉ là những khiếm khuyết rất nhỏ, hoàn toàn không ảnh hưởng nghiêm trọng đến chất lượng hay giá trị sử dụng của hàng hóa, nhưng bên mua vẫn từ chối nhận hàng, gây tổn thất không nhỏ cho bên bán</w:t>
            </w:r>
          </w:p>
        </w:tc>
      </w:tr>
      <w:tr w:rsidR="00A156E2" w:rsidRPr="00ED5E38" w14:paraId="699AA99E" w14:textId="77777777" w:rsidTr="00E13FB9">
        <w:trPr>
          <w:trHeight w:val="20"/>
        </w:trPr>
        <w:tc>
          <w:tcPr>
            <w:tcW w:w="411" w:type="pct"/>
            <w:shd w:val="clear" w:color="FFFFFF" w:fill="FFFFFF"/>
          </w:tcPr>
          <w:p w14:paraId="39BFA255" w14:textId="77777777" w:rsidR="00537DD6" w:rsidRPr="00ED5E38" w:rsidRDefault="00537DD6" w:rsidP="00E13FB9">
            <w:pPr>
              <w:pStyle w:val="ListParagraph"/>
              <w:widowControl w:val="0"/>
              <w:numPr>
                <w:ilvl w:val="0"/>
                <w:numId w:val="4"/>
              </w:numPr>
              <w:spacing w:before="60" w:after="60" w:line="240" w:lineRule="auto"/>
              <w:ind w:left="0" w:right="-842" w:firstLine="26"/>
              <w:jc w:val="both"/>
              <w:rPr>
                <w:rFonts w:ascii="Times New Roman" w:hAnsi="Times New Roman"/>
                <w:noProof/>
                <w:color w:val="000000" w:themeColor="text1"/>
                <w:sz w:val="26"/>
                <w:szCs w:val="26"/>
                <w:lang w:val="vi-VN"/>
              </w:rPr>
            </w:pPr>
          </w:p>
        </w:tc>
        <w:tc>
          <w:tcPr>
            <w:tcW w:w="2216" w:type="pct"/>
            <w:shd w:val="clear" w:color="FFFFFF" w:fill="FFFFFF"/>
          </w:tcPr>
          <w:p w14:paraId="07C37807" w14:textId="77777777" w:rsidR="00537DD6" w:rsidRPr="00ED5E38" w:rsidRDefault="00537DD6" w:rsidP="00E13FB9">
            <w:pPr>
              <w:widowControl w:val="0"/>
              <w:spacing w:before="60" w:after="60"/>
              <w:jc w:val="both"/>
              <w:rPr>
                <w:noProof/>
                <w:color w:val="000000" w:themeColor="text1"/>
                <w:sz w:val="26"/>
                <w:szCs w:val="26"/>
                <w:lang w:val="vi-VN"/>
              </w:rPr>
            </w:pPr>
            <w:r w:rsidRPr="00ED5E38">
              <w:rPr>
                <w:noProof/>
                <w:color w:val="000000" w:themeColor="text1"/>
                <w:sz w:val="26"/>
                <w:szCs w:val="26"/>
                <w:lang w:val="vi-VN"/>
              </w:rPr>
              <w:t>Khoản 13 Điều 3 Luật Thương mại năm 2005</w:t>
            </w:r>
          </w:p>
        </w:tc>
        <w:tc>
          <w:tcPr>
            <w:tcW w:w="2372" w:type="pct"/>
            <w:shd w:val="clear" w:color="FFFFFF" w:fill="FFFFFF"/>
          </w:tcPr>
          <w:p w14:paraId="70E057F1" w14:textId="47CD920E" w:rsidR="00537DD6" w:rsidRPr="00ED5E38" w:rsidRDefault="00537DD6" w:rsidP="00E13FB9">
            <w:pPr>
              <w:widowControl w:val="0"/>
              <w:spacing w:before="60" w:after="60"/>
              <w:jc w:val="both"/>
              <w:rPr>
                <w:noProof/>
                <w:color w:val="000000" w:themeColor="text1"/>
                <w:sz w:val="26"/>
                <w:szCs w:val="26"/>
                <w:lang w:val="vi-VN"/>
              </w:rPr>
            </w:pPr>
            <w:r w:rsidRPr="00ED5E38">
              <w:rPr>
                <w:noProof/>
                <w:color w:val="000000" w:themeColor="text1"/>
                <w:sz w:val="26"/>
                <w:szCs w:val="26"/>
                <w:lang w:val="vi-VN"/>
              </w:rPr>
              <w:t xml:space="preserve">Khoản 2 Điều 423 Bộ Luật Dân sự năm 2015 quy định: “Vi phạm nghiêm trọng là việc không thực hiện đúng nghĩa vụ của một bên đến mức làm cho bên kia không đạt được mục đích của việc giao kết hợp đồng”. - Luật Thương mại năm 2005 Khoản 13 Điều 3 Luật Thương mại năm 2005 quy định: “Vi phạm cơ bản là sự vi phạm hợp đồng của một bên gây </w:t>
            </w:r>
            <w:r w:rsidRPr="00ED5E38">
              <w:rPr>
                <w:noProof/>
                <w:color w:val="000000" w:themeColor="text1"/>
                <w:sz w:val="26"/>
                <w:szCs w:val="26"/>
                <w:lang w:val="vi-VN"/>
              </w:rPr>
              <w:lastRenderedPageBreak/>
              <w:t>thiệt hại cho bên kia đến mức làm cho bên kia không đạt được mục đích của</w:t>
            </w:r>
            <w:r w:rsidR="0091405F" w:rsidRPr="0091405F">
              <w:rPr>
                <w:noProof/>
                <w:color w:val="000000" w:themeColor="text1"/>
                <w:sz w:val="26"/>
                <w:szCs w:val="26"/>
                <w:lang w:val="vi-VN"/>
              </w:rPr>
              <w:t xml:space="preserve"> </w:t>
            </w:r>
            <w:r w:rsidRPr="00ED5E38">
              <w:rPr>
                <w:noProof/>
                <w:color w:val="000000" w:themeColor="text1"/>
                <w:sz w:val="26"/>
                <w:szCs w:val="26"/>
                <w:lang w:val="vi-VN"/>
              </w:rPr>
              <w:t>việc giao kết hợp đồng”. Các quy định tại Khoản 13 Điều 3 Luật Thương mại năm 2005 và Khoản 13 Điều 3 Luật Thương mại năm 2005 là chưa thống nhất.</w:t>
            </w:r>
          </w:p>
        </w:tc>
      </w:tr>
    </w:tbl>
    <w:p w14:paraId="6D69EFFB" w14:textId="0184656B" w:rsidR="00537DD6" w:rsidRPr="00ED5E38" w:rsidRDefault="00F866F8" w:rsidP="00F866F8">
      <w:pPr>
        <w:widowControl w:val="0"/>
        <w:tabs>
          <w:tab w:val="right" w:leader="dot" w:pos="7920"/>
        </w:tabs>
        <w:spacing w:before="120" w:after="120" w:line="340" w:lineRule="exact"/>
        <w:ind w:firstLine="567"/>
        <w:jc w:val="both"/>
        <w:rPr>
          <w:b/>
          <w:bCs/>
          <w:i/>
          <w:iCs/>
          <w:noProof/>
          <w:color w:val="000000" w:themeColor="text1"/>
          <w:sz w:val="26"/>
          <w:szCs w:val="26"/>
          <w:lang w:val="vi-VN"/>
        </w:rPr>
      </w:pPr>
      <w:r w:rsidRPr="00F866F8">
        <w:rPr>
          <w:b/>
          <w:bCs/>
          <w:i/>
          <w:iCs/>
          <w:noProof/>
          <w:color w:val="000000" w:themeColor="text1"/>
          <w:sz w:val="26"/>
          <w:szCs w:val="26"/>
          <w:lang w:val="vi-VN"/>
        </w:rPr>
        <w:lastRenderedPageBreak/>
        <w:t>-</w:t>
      </w:r>
      <w:r w:rsidR="007A7754" w:rsidRPr="00ED5E38">
        <w:rPr>
          <w:b/>
          <w:bCs/>
          <w:i/>
          <w:iCs/>
          <w:noProof/>
          <w:color w:val="000000" w:themeColor="text1"/>
          <w:sz w:val="26"/>
          <w:szCs w:val="26"/>
          <w:lang w:val="vi-VN"/>
        </w:rPr>
        <w:t xml:space="preserve"> </w:t>
      </w:r>
      <w:r w:rsidR="00537DD6" w:rsidRPr="00ED5E38">
        <w:rPr>
          <w:b/>
          <w:bCs/>
          <w:i/>
          <w:iCs/>
          <w:noProof/>
          <w:color w:val="000000" w:themeColor="text1"/>
          <w:sz w:val="26"/>
          <w:szCs w:val="26"/>
          <w:lang w:val="vi-VN"/>
        </w:rPr>
        <w:t xml:space="preserve">Tác động về kinh tế - xã hội: </w:t>
      </w:r>
    </w:p>
    <w:p w14:paraId="14286B5E" w14:textId="77777777" w:rsidR="00537DD6" w:rsidRPr="00ED5E38" w:rsidRDefault="00537DD6" w:rsidP="00F866F8">
      <w:pPr>
        <w:pStyle w:val="NormalWeb"/>
        <w:widowControl w:val="0"/>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Việc thể chế hóa chính sách tại Luật Thương mại quy định nguyên tắc, đồng thời yêu cầu các lĩnh vực độc quyền nhà nước phải được quy định tại các luật chuyên ngành tương ứng, không chỉ có ý nghĩa về mặt kỹ thuật lập pháp mà còn tạo ra </w:t>
      </w:r>
      <w:r w:rsidRPr="00ED5E38">
        <w:rPr>
          <w:rStyle w:val="Strong"/>
          <w:b w:val="0"/>
          <w:bCs w:val="0"/>
          <w:noProof/>
          <w:color w:val="000000" w:themeColor="text1"/>
          <w:sz w:val="26"/>
          <w:szCs w:val="26"/>
          <w:lang w:val="vi-VN"/>
        </w:rPr>
        <w:t>tác động kinh tế – xã hội quan trọng</w:t>
      </w:r>
      <w:r w:rsidRPr="00ED5E38">
        <w:rPr>
          <w:noProof/>
          <w:color w:val="000000" w:themeColor="text1"/>
          <w:sz w:val="26"/>
          <w:szCs w:val="26"/>
          <w:lang w:val="vi-VN"/>
        </w:rPr>
        <w:t xml:space="preserve"> đối với cấu trúc thị trường và môi trường đầu tư, kinh doanh.</w:t>
      </w:r>
    </w:p>
    <w:p w14:paraId="6DABC04D" w14:textId="77777777" w:rsidR="00537DD6" w:rsidRPr="00ED5E38" w:rsidRDefault="00537DD6" w:rsidP="00F866F8">
      <w:pPr>
        <w:pStyle w:val="NormalWeb"/>
        <w:widowControl w:val="0"/>
        <w:spacing w:before="120" w:beforeAutospacing="0" w:after="120" w:afterAutospacing="0" w:line="340" w:lineRule="exact"/>
        <w:ind w:firstLine="567"/>
        <w:jc w:val="both"/>
        <w:rPr>
          <w:noProof/>
          <w:color w:val="000000" w:themeColor="text1"/>
          <w:sz w:val="26"/>
          <w:szCs w:val="26"/>
          <w:lang w:val="vi-VN"/>
        </w:rPr>
      </w:pPr>
      <w:r w:rsidRPr="00ED5E38">
        <w:rPr>
          <w:rStyle w:val="Strong"/>
          <w:b w:val="0"/>
          <w:bCs w:val="0"/>
          <w:noProof/>
          <w:color w:val="000000" w:themeColor="text1"/>
          <w:sz w:val="26"/>
          <w:szCs w:val="26"/>
          <w:lang w:val="vi-VN"/>
        </w:rPr>
        <w:t xml:space="preserve">Thứ nhất, tạo ra một “điểm rà soát chính sách” có tính hệ thống đối với chế độ độc quyền nhà nước. </w:t>
      </w:r>
      <w:r w:rsidRPr="00ED5E38">
        <w:rPr>
          <w:noProof/>
          <w:color w:val="000000" w:themeColor="text1"/>
          <w:sz w:val="26"/>
          <w:szCs w:val="26"/>
          <w:lang w:val="vi-VN"/>
        </w:rPr>
        <w:t>Khi các bộ, ngành buộc phải rà soát lại toàn bộ các lĩnh vực đang thực hiện độc quyền nhà nước để quyết định nội dung nào cần được luật hóa ở cấp luật, quá trình này đồng thời đặt ra yêu cầu đánh giá lại một cách thực chất về: (1) sự cần thiết tiếp tục duy trì độc quyền; (2) mục tiêu công cộng mà độc quyền hướng tới; (3) mức độ phù hợp của độc quyền với bối cảnh phát triển kinh tế – xã hội hiện nay.</w:t>
      </w:r>
    </w:p>
    <w:p w14:paraId="70FD2AED"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Đây là cơ hội quan trọng để loại bỏ tư duy “độc quyền theo quán tính lịch sử”, chuyển sang cách tiếp cận dựa trên </w:t>
      </w:r>
      <w:r w:rsidRPr="00ED5E38">
        <w:rPr>
          <w:rStyle w:val="Strong"/>
          <w:b w:val="0"/>
          <w:bCs w:val="0"/>
          <w:noProof/>
          <w:color w:val="000000" w:themeColor="text1"/>
          <w:sz w:val="26"/>
          <w:szCs w:val="26"/>
          <w:lang w:val="vi-VN"/>
        </w:rPr>
        <w:t>chi phí – lợi ích xã hội</w:t>
      </w:r>
      <w:r w:rsidRPr="00ED5E38">
        <w:rPr>
          <w:noProof/>
          <w:color w:val="000000" w:themeColor="text1"/>
          <w:sz w:val="26"/>
          <w:szCs w:val="26"/>
          <w:lang w:val="vi-VN"/>
        </w:rPr>
        <w:t xml:space="preserve"> và yêu cầu quản trị hiện đại.</w:t>
      </w:r>
    </w:p>
    <w:p w14:paraId="3B64C7F3" w14:textId="77777777" w:rsidR="00537DD6" w:rsidRPr="00ED5E38" w:rsidRDefault="00537DD6" w:rsidP="00F866F8">
      <w:pPr>
        <w:pStyle w:val="NormalWeb"/>
        <w:spacing w:before="120" w:beforeAutospacing="0" w:after="120" w:afterAutospacing="0" w:line="340" w:lineRule="exact"/>
        <w:ind w:firstLine="567"/>
        <w:jc w:val="both"/>
        <w:rPr>
          <w:rStyle w:val="Strong"/>
          <w:b w:val="0"/>
          <w:bCs w:val="0"/>
          <w:noProof/>
          <w:color w:val="000000" w:themeColor="text1"/>
          <w:sz w:val="26"/>
          <w:szCs w:val="26"/>
          <w:lang w:val="vi-VN"/>
        </w:rPr>
      </w:pPr>
      <w:r w:rsidRPr="00ED5E38">
        <w:rPr>
          <w:rStyle w:val="Strong"/>
          <w:b w:val="0"/>
          <w:bCs w:val="0"/>
          <w:noProof/>
          <w:color w:val="000000" w:themeColor="text1"/>
          <w:sz w:val="26"/>
          <w:szCs w:val="26"/>
          <w:lang w:val="vi-VN"/>
        </w:rPr>
        <w:t>Thứ hai, góp phần thu hẹp phạm vi độc quyền nhà nước theo đúng tinh thần Hiến pháp năm 2013.</w:t>
      </w:r>
    </w:p>
    <w:p w14:paraId="245786E0"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Hiến pháp năm 2013 khẳng định quyền tự do kinh doanh của tổ chức, cá nhân và chỉ cho phép hạn chế quyền này trong trường hợp thật sự cần thiết vì lý do quốc phòng, an ninh, trật tự, an toàn xã hội hoặc lợi ích công cộng, đồng thời phải được quy định bằng luật. Việc buộc các nội dung độc quyền nhà nước phải được luật hóa ở cấp luật chuyên ngành sẽ tạo ra “ngưỡng lập pháp” cao hơn, qua đó:</w:t>
      </w:r>
    </w:p>
    <w:p w14:paraId="4CDE11CC"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Hạn chế việc mở rộng độc quyền thông qua các văn bản dưới luật;</w:t>
      </w:r>
    </w:p>
    <w:p w14:paraId="7E5D9174"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Thu hẹp phạm vi độc quyền chỉ còn tập trung vào các lĩnh vực thật sự thiết yếu.</w:t>
      </w:r>
    </w:p>
    <w:p w14:paraId="66A200E1"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Điều này giúp tăng tính hợp hiến, hợp pháp và góp phần đảm bảo ý nghĩa của việc thực hiện độc quyền nhà nước phục vụ các lợi ích của nhà nước, không bị lợi dụng trở thành lợi ích nhóm.</w:t>
      </w:r>
    </w:p>
    <w:p w14:paraId="7008AD99" w14:textId="77777777" w:rsidR="00537DD6" w:rsidRPr="00ED5E38" w:rsidRDefault="00537DD6" w:rsidP="00F866F8">
      <w:pPr>
        <w:pStyle w:val="NormalWeb"/>
        <w:spacing w:before="120" w:beforeAutospacing="0" w:after="120" w:afterAutospacing="0" w:line="340" w:lineRule="exact"/>
        <w:ind w:firstLine="567"/>
        <w:jc w:val="both"/>
        <w:rPr>
          <w:rStyle w:val="Strong"/>
          <w:b w:val="0"/>
          <w:bCs w:val="0"/>
          <w:noProof/>
          <w:color w:val="000000" w:themeColor="text1"/>
          <w:sz w:val="26"/>
          <w:szCs w:val="26"/>
          <w:lang w:val="vi-VN"/>
        </w:rPr>
      </w:pPr>
      <w:r w:rsidRPr="00ED5E38">
        <w:rPr>
          <w:rStyle w:val="Strong"/>
          <w:b w:val="0"/>
          <w:bCs w:val="0"/>
          <w:noProof/>
          <w:color w:val="000000" w:themeColor="text1"/>
          <w:sz w:val="26"/>
          <w:szCs w:val="26"/>
          <w:lang w:val="vi-VN"/>
        </w:rPr>
        <w:t>Thứ ba, phù hợp với định hướng phát triển kinh tế tư nhân theo Nghị quyết số 68.</w:t>
      </w:r>
    </w:p>
    <w:p w14:paraId="17F8BC13"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Nghị quyết số 68 của Trung ương về phát triển kinh tế tư nhân xác định rõ yêu cầu tạo lập môi trường đầu tư, kinh doanh thông thoáng, bình đẳng giữa các thành phần kinh tế, xóa bỏ rào cản gia nhập thị trường không cần thiết và hạn chế cơ chế xin – cho. </w:t>
      </w:r>
    </w:p>
    <w:p w14:paraId="3C53D12F"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Trong bối cảnh đó, việc rà soát và luật hóa các lĩnh vực độc quyền nhà nước là điều kiện quan trọng để:</w:t>
      </w:r>
    </w:p>
    <w:p w14:paraId="768CDF53"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Mở cửa các lĩnh vực mà khu vực tư nhân có khả năng tham gia hiệu quả;</w:t>
      </w:r>
    </w:p>
    <w:p w14:paraId="15605889"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lastRenderedPageBreak/>
        <w:t>- Thúc đẩy cạnh tranh lành mạnh;</w:t>
      </w:r>
    </w:p>
    <w:p w14:paraId="2C312A1B"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Giảm gánh nặng đầu tư và quản lý cho Nhà nước trong những lĩnh vực không còn cần thiết phải độc quyền.</w:t>
      </w:r>
    </w:p>
    <w:p w14:paraId="75291955" w14:textId="77777777" w:rsidR="00537DD6" w:rsidRPr="00ED5E38" w:rsidRDefault="00537DD6" w:rsidP="00F866F8">
      <w:pPr>
        <w:pStyle w:val="NormalWeb"/>
        <w:widowControl w:val="0"/>
        <w:spacing w:before="120" w:beforeAutospacing="0" w:after="120" w:afterAutospacing="0" w:line="340" w:lineRule="exact"/>
        <w:ind w:firstLine="567"/>
        <w:jc w:val="both"/>
        <w:rPr>
          <w:noProof/>
          <w:color w:val="000000" w:themeColor="text1"/>
          <w:sz w:val="26"/>
          <w:szCs w:val="26"/>
          <w:lang w:val="vi-VN"/>
        </w:rPr>
      </w:pPr>
      <w:r w:rsidRPr="00ED5E38">
        <w:rPr>
          <w:rStyle w:val="Strong"/>
          <w:b w:val="0"/>
          <w:bCs w:val="0"/>
          <w:noProof/>
          <w:color w:val="000000" w:themeColor="text1"/>
          <w:sz w:val="26"/>
          <w:szCs w:val="26"/>
          <w:lang w:val="vi-VN"/>
        </w:rPr>
        <w:t>Thứ tư, nâng cao hiệu quả phân bổ nguồn lực xã hội.</w:t>
      </w:r>
    </w:p>
    <w:p w14:paraId="44BDD5AE" w14:textId="77777777" w:rsidR="00537DD6" w:rsidRPr="00ED5E38" w:rsidRDefault="00537DD6" w:rsidP="00F866F8">
      <w:pPr>
        <w:pStyle w:val="NormalWeb"/>
        <w:widowControl w:val="0"/>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Khi độc quyền nhà nước được thu hẹp về đúng phạm vi cần thiết, các nguồn lực xã hội (vốn, lao động, công nghệ) sẽ được phân bổ hiệu quả hơn thông qua cơ chế thị trường. Khu vực tư nhân có điều kiện tham gia sâu hơn vào các lĩnh vực trước đây bị hạn chế, qua đó thúc đẩy đổi mới sáng tạo; nâng cao chất lượng dịch vụ, hàng hóa; giảm chi phí cho người tiêu dùng và doanh nghiệp.</w:t>
      </w:r>
    </w:p>
    <w:p w14:paraId="73C87BA3" w14:textId="77777777" w:rsidR="00367604" w:rsidRPr="00ED5E38" w:rsidRDefault="00537DD6" w:rsidP="00F866F8">
      <w:pPr>
        <w:pStyle w:val="NormalWeb"/>
        <w:widowControl w:val="0"/>
        <w:spacing w:before="120" w:beforeAutospacing="0" w:after="120" w:afterAutospacing="0" w:line="340" w:lineRule="exact"/>
        <w:ind w:firstLine="567"/>
        <w:jc w:val="both"/>
        <w:rPr>
          <w:rStyle w:val="Strong"/>
          <w:b w:val="0"/>
          <w:bCs w:val="0"/>
          <w:noProof/>
          <w:color w:val="000000" w:themeColor="text1"/>
          <w:sz w:val="26"/>
          <w:szCs w:val="26"/>
          <w:lang w:val="vi-VN"/>
        </w:rPr>
      </w:pPr>
      <w:r w:rsidRPr="00ED5E38">
        <w:rPr>
          <w:rStyle w:val="Strong"/>
          <w:b w:val="0"/>
          <w:bCs w:val="0"/>
          <w:noProof/>
          <w:color w:val="000000" w:themeColor="text1"/>
          <w:sz w:val="26"/>
          <w:szCs w:val="26"/>
          <w:lang w:val="vi-VN"/>
        </w:rPr>
        <w:t>Thứ năm, tăng cường tính minh bạch và trách nhiệm giải trình trong quản lý nhà nước.</w:t>
      </w:r>
    </w:p>
    <w:p w14:paraId="46D9BAFC" w14:textId="150B765D" w:rsidR="00537DD6" w:rsidRPr="00ED5E38" w:rsidRDefault="00537DD6" w:rsidP="00F866F8">
      <w:pPr>
        <w:pStyle w:val="NormalWeb"/>
        <w:widowControl w:val="0"/>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Việc luật hóa độc quyền nhà nước ở cấp luật chuyên ngành buộc các cơ quan quản lý phải giải trình rõ ràng trước Quốc hội và xã hội về lý do, phạm vi và cơ chế kiểm soát độc quyền. Điều này góp phần nâng cao chất lượng chính sách; giảm nguy cơ lạm dụng vị trí độc quyền; củng cố niềm tin của doanh nghiệp và nhà đầu tư vào hệ thống pháp luật.</w:t>
      </w:r>
    </w:p>
    <w:p w14:paraId="29E731A3" w14:textId="77777777"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Tổng thể, việc yêu cầu các lĩnh vực độc quyền nhà nước phải được thể chế hóa tại các luật chuyên ngành tương ứng, trong bối cảnh sửa đổi Luật Thương mại, không chỉ là một điều chỉnh kỹ thuật lập pháp mà còn là </w:t>
      </w:r>
      <w:r w:rsidRPr="00ED5E38">
        <w:rPr>
          <w:rStyle w:val="Strong"/>
          <w:b w:val="0"/>
          <w:bCs w:val="0"/>
          <w:noProof/>
          <w:color w:val="000000" w:themeColor="text1"/>
          <w:sz w:val="26"/>
          <w:szCs w:val="26"/>
          <w:lang w:val="vi-VN"/>
        </w:rPr>
        <w:t>cơ hội chính sách quan trọng</w:t>
      </w:r>
      <w:r w:rsidRPr="00ED5E38">
        <w:rPr>
          <w:noProof/>
          <w:color w:val="000000" w:themeColor="text1"/>
          <w:sz w:val="26"/>
          <w:szCs w:val="26"/>
          <w:lang w:val="vi-VN"/>
        </w:rPr>
        <w:t xml:space="preserve"> để đánh giá lại toàn diện sự cần thiết và phạm vi của độc quyền nhà nước. </w:t>
      </w:r>
    </w:p>
    <w:p w14:paraId="2BFFA79C" w14:textId="77777777" w:rsidR="00367604"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noProof/>
          <w:color w:val="000000" w:themeColor="text1"/>
          <w:sz w:val="26"/>
          <w:szCs w:val="26"/>
          <w:lang w:val="vi-VN"/>
        </w:rPr>
        <w:t>Cách tiếp cận này phù hợp với Hiến pháp năm 2013, đáp ứng tinh thần Nghị quyết 68 về phát triển kinh tế tư nhân, góp phần xây dựng môi trường kinh doanh minh bạch, bình đẳng và thúc đẩy phát triển kinh tế – xã hội bền vững.</w:t>
      </w:r>
    </w:p>
    <w:p w14:paraId="39E6E08F" w14:textId="77777777" w:rsidR="00367604" w:rsidRPr="00ED5E38" w:rsidRDefault="00537DD6" w:rsidP="00F866F8">
      <w:pPr>
        <w:pStyle w:val="NormalWeb"/>
        <w:spacing w:before="120" w:beforeAutospacing="0" w:after="120" w:afterAutospacing="0" w:line="340" w:lineRule="exact"/>
        <w:ind w:firstLine="567"/>
        <w:jc w:val="both"/>
        <w:rPr>
          <w:iCs/>
          <w:noProof/>
          <w:color w:val="000000" w:themeColor="text1"/>
          <w:sz w:val="26"/>
          <w:szCs w:val="26"/>
          <w:lang w:val="vi-VN"/>
        </w:rPr>
      </w:pPr>
      <w:r w:rsidRPr="00ED5E38">
        <w:rPr>
          <w:noProof/>
          <w:color w:val="000000" w:themeColor="text1"/>
          <w:sz w:val="26"/>
          <w:szCs w:val="26"/>
          <w:lang w:val="vi-VN"/>
        </w:rPr>
        <w:t xml:space="preserve">+ </w:t>
      </w:r>
      <w:r w:rsidRPr="00ED5E38">
        <w:rPr>
          <w:iCs/>
          <w:noProof/>
          <w:color w:val="000000" w:themeColor="text1"/>
          <w:sz w:val="26"/>
          <w:szCs w:val="26"/>
          <w:lang w:val="vi-VN"/>
        </w:rPr>
        <w:t>Bãi bỏ quy định về hàng hóa, dịch vụ cấm kinh doanh, hạn chế kinh doanh và kinh doanh có điều kiện:</w:t>
      </w:r>
    </w:p>
    <w:p w14:paraId="43755EDA" w14:textId="36501949" w:rsidR="00537DD6" w:rsidRPr="00ED5E38" w:rsidRDefault="00537DD6" w:rsidP="00F866F8">
      <w:pPr>
        <w:pStyle w:val="NormalWeb"/>
        <w:spacing w:before="120" w:beforeAutospacing="0" w:after="120" w:afterAutospacing="0" w:line="340" w:lineRule="exact"/>
        <w:ind w:firstLine="567"/>
        <w:jc w:val="both"/>
        <w:rPr>
          <w:noProof/>
          <w:color w:val="000000" w:themeColor="text1"/>
          <w:sz w:val="26"/>
          <w:szCs w:val="26"/>
          <w:lang w:val="vi-VN"/>
        </w:rPr>
      </w:pPr>
      <w:r w:rsidRPr="00ED5E38">
        <w:rPr>
          <w:iCs/>
          <w:noProof/>
          <w:color w:val="000000" w:themeColor="text1"/>
          <w:sz w:val="26"/>
          <w:szCs w:val="26"/>
          <w:lang w:val="vi-VN"/>
        </w:rPr>
        <w:t>Việc bãi bỏ quy định về hàng hóa, dịch vụ cấm kinh doanh, hạn chế kinh doanh và kinh doanh có điều kiện tại Luật Thương mại, đồng thời thống nhất áp dụng theo quy định của Luật Đầu tư, có tác động tích cực đối với nền kinh tế. Chính sách giúp loại bỏ sự chồng chéo, mâu thuẫn trong hệ thống pháp luật về đầu tư, kinh doanh, qua đó tạo lập môi trường kinh doanh minh bạch, ổn định và dễ dự đoán hơn cho doanh nghiệp.</w:t>
      </w:r>
    </w:p>
    <w:p w14:paraId="79DCE138" w14:textId="3BB90AAD" w:rsidR="00537DD6" w:rsidRPr="00ED5E38" w:rsidRDefault="00537DD6" w:rsidP="00F866F8">
      <w:pPr>
        <w:spacing w:before="120" w:after="120" w:line="340" w:lineRule="exact"/>
        <w:ind w:firstLine="567"/>
        <w:jc w:val="both"/>
        <w:rPr>
          <w:iCs/>
          <w:noProof/>
          <w:color w:val="000000" w:themeColor="text1"/>
          <w:sz w:val="26"/>
          <w:szCs w:val="26"/>
          <w:lang w:val="vi-VN"/>
        </w:rPr>
      </w:pPr>
      <w:r w:rsidRPr="00ED5E38">
        <w:rPr>
          <w:iCs/>
          <w:noProof/>
          <w:color w:val="000000" w:themeColor="text1"/>
          <w:sz w:val="26"/>
          <w:szCs w:val="26"/>
          <w:lang w:val="vi-VN"/>
        </w:rPr>
        <w:t>Đối với hoạt động sản xuất, kinh doanh, việc thống nhất một đầu mối pháp lý về ngành, nghề cấm đầu tư kinh doanh và đầu tư kinh doanh có điều kiện giúp doanh nghiệp giảm chi phí tuân thủ pháp luật, chi phí hành chính và chi phí cơ hội do phải đáp ứng đồng thời nhiều cơ chế quản lý khác nhau. Điều này góp phần nâng cao khả năng cạnh tranh của doanh nghiệp, khuyến khích mở rộng đầu tư, gia tăng quy mô sản xuất, lưu thông hàng hóa và cung ứng dịch vụ trên thị trường.</w:t>
      </w:r>
    </w:p>
    <w:p w14:paraId="08D0AD6E" w14:textId="16C146EE" w:rsidR="00AE09E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iCs/>
          <w:noProof/>
          <w:color w:val="000000" w:themeColor="text1"/>
          <w:sz w:val="26"/>
          <w:szCs w:val="26"/>
          <w:lang w:val="vi-VN"/>
        </w:rPr>
        <w:t xml:space="preserve">+ Bãi bỏ điều kiện giám định thương mại: </w:t>
      </w:r>
      <w:r w:rsidRPr="00ED5E38">
        <w:rPr>
          <w:noProof/>
          <w:color w:val="000000" w:themeColor="text1"/>
          <w:sz w:val="26"/>
          <w:szCs w:val="26"/>
          <w:lang w:val="vi-VN"/>
        </w:rPr>
        <w:t xml:space="preserve">Chính sách này giúp giảm chi phí tuân thủ pháp luật qua đó khuyến khích </w:t>
      </w:r>
      <w:r w:rsidR="00AE09E6" w:rsidRPr="00ED5E38">
        <w:rPr>
          <w:noProof/>
          <w:color w:val="000000" w:themeColor="text1"/>
          <w:sz w:val="26"/>
          <w:szCs w:val="26"/>
          <w:lang w:val="vi-VN"/>
        </w:rPr>
        <w:t xml:space="preserve">các doanh nghiệp tham gia </w:t>
      </w:r>
      <w:r w:rsidRPr="00ED5E38">
        <w:rPr>
          <w:noProof/>
          <w:color w:val="000000" w:themeColor="text1"/>
          <w:sz w:val="26"/>
          <w:szCs w:val="26"/>
          <w:lang w:val="vi-VN"/>
        </w:rPr>
        <w:t xml:space="preserve">hoạt động giám định </w:t>
      </w:r>
      <w:r w:rsidRPr="00ED5E38">
        <w:rPr>
          <w:noProof/>
          <w:color w:val="000000" w:themeColor="text1"/>
          <w:sz w:val="26"/>
          <w:szCs w:val="26"/>
          <w:lang w:val="vi-VN"/>
        </w:rPr>
        <w:lastRenderedPageBreak/>
        <w:t>thương mại, đáp ứng tốt hơn nhu cầu của các cơ quan, tổ chức, cá nhân có liên quan, cải thiện môi trường đầu tư kinh doanh, bảo đảm phù hợp với chủ trương của Đảng và Nhà nước về cắt giảm điều kiện kinh doanh không cần thiết, chuyển mạnh từ quản lý bằng cấp phép sang quản lý bằng tiêu chuẩn</w:t>
      </w:r>
      <w:r w:rsidR="00AE09E6" w:rsidRPr="00ED5E38">
        <w:rPr>
          <w:noProof/>
          <w:color w:val="000000" w:themeColor="text1"/>
          <w:sz w:val="26"/>
          <w:szCs w:val="26"/>
          <w:lang w:val="vi-VN"/>
        </w:rPr>
        <w:t xml:space="preserve"> </w:t>
      </w:r>
      <w:r w:rsidRPr="00ED5E38">
        <w:rPr>
          <w:noProof/>
          <w:color w:val="000000" w:themeColor="text1"/>
          <w:sz w:val="26"/>
          <w:szCs w:val="26"/>
          <w:lang w:val="vi-VN"/>
        </w:rPr>
        <w:t>và trách nhiệm nghề nghiệp</w:t>
      </w:r>
      <w:r w:rsidR="00AE09E6" w:rsidRPr="00ED5E38">
        <w:rPr>
          <w:noProof/>
          <w:color w:val="000000" w:themeColor="text1"/>
          <w:sz w:val="26"/>
          <w:szCs w:val="26"/>
          <w:lang w:val="vi-VN"/>
        </w:rPr>
        <w:t xml:space="preserve">, cụ thể là Tiêu chuẩn </w:t>
      </w:r>
    </w:p>
    <w:p w14:paraId="3A66365B" w14:textId="77777777" w:rsidR="00537DD6" w:rsidRPr="00ED5E38" w:rsidRDefault="00537DD6" w:rsidP="00F866F8">
      <w:pPr>
        <w:spacing w:before="120" w:after="120" w:line="340" w:lineRule="exact"/>
        <w:ind w:firstLine="567"/>
        <w:jc w:val="both"/>
        <w:rPr>
          <w:iCs/>
          <w:noProof/>
          <w:color w:val="000000" w:themeColor="text1"/>
          <w:sz w:val="26"/>
          <w:szCs w:val="26"/>
          <w:lang w:val="vi-VN"/>
        </w:rPr>
      </w:pPr>
      <w:r w:rsidRPr="00ED5E38">
        <w:rPr>
          <w:iCs/>
          <w:noProof/>
          <w:color w:val="000000" w:themeColor="text1"/>
          <w:sz w:val="26"/>
          <w:szCs w:val="26"/>
          <w:lang w:val="vi-VN"/>
        </w:rPr>
        <w:t xml:space="preserve">+ Bãi bỏ nội dung hợp về hợp đồng và giải quyết tranh chấp tại Luật Thương mại: </w:t>
      </w:r>
    </w:p>
    <w:p w14:paraId="12CF8522" w14:textId="77777777" w:rsidR="00AE79B5" w:rsidRPr="00ED5E38" w:rsidRDefault="00537DD6" w:rsidP="00F866F8">
      <w:pPr>
        <w:spacing w:before="120" w:after="120" w:line="340" w:lineRule="exact"/>
        <w:ind w:firstLine="567"/>
        <w:jc w:val="both"/>
        <w:rPr>
          <w:iCs/>
          <w:noProof/>
          <w:color w:val="000000" w:themeColor="text1"/>
          <w:sz w:val="26"/>
          <w:szCs w:val="26"/>
          <w:lang w:val="vi-VN"/>
        </w:rPr>
      </w:pPr>
      <w:r w:rsidRPr="00ED5E38">
        <w:rPr>
          <w:iCs/>
          <w:noProof/>
          <w:color w:val="000000" w:themeColor="text1"/>
          <w:sz w:val="26"/>
          <w:szCs w:val="26"/>
          <w:lang w:val="vi-VN"/>
        </w:rPr>
        <w:t>Tác động tích cực:</w:t>
      </w:r>
    </w:p>
    <w:p w14:paraId="767FFC98" w14:textId="77777777" w:rsidR="00AE79B5" w:rsidRPr="00ED5E38" w:rsidRDefault="00537DD6" w:rsidP="00F866F8">
      <w:pPr>
        <w:spacing w:before="120" w:after="120" w:line="340" w:lineRule="exact"/>
        <w:ind w:firstLine="567"/>
        <w:jc w:val="both"/>
        <w:rPr>
          <w:noProof/>
          <w:color w:val="000000" w:themeColor="text1"/>
          <w:sz w:val="26"/>
          <w:szCs w:val="26"/>
          <w:lang w:val="vi-VN"/>
        </w:rPr>
      </w:pPr>
      <w:r w:rsidRPr="00ED5E38">
        <w:rPr>
          <w:rStyle w:val="Strong"/>
          <w:b w:val="0"/>
          <w:bCs w:val="0"/>
          <w:noProof/>
          <w:color w:val="000000" w:themeColor="text1"/>
          <w:sz w:val="26"/>
          <w:szCs w:val="26"/>
          <w:lang w:val="vi-VN"/>
        </w:rPr>
        <w:t>Thứ nhất, giảm xung đột pháp luật và hạn chế phát sinh tranh chấp hợp đồng.</w:t>
      </w:r>
      <w:r w:rsidR="00AE79B5" w:rsidRPr="00ED5E38">
        <w:rPr>
          <w:rStyle w:val="Strong"/>
          <w:b w:val="0"/>
          <w:bCs w:val="0"/>
          <w:noProof/>
          <w:color w:val="000000" w:themeColor="text1"/>
          <w:sz w:val="26"/>
          <w:szCs w:val="26"/>
          <w:lang w:val="vi-VN"/>
        </w:rPr>
        <w:t xml:space="preserve"> </w:t>
      </w:r>
      <w:r w:rsidRPr="00ED5E38">
        <w:rPr>
          <w:noProof/>
          <w:color w:val="000000" w:themeColor="text1"/>
          <w:sz w:val="26"/>
          <w:szCs w:val="26"/>
          <w:lang w:val="vi-VN"/>
        </w:rPr>
        <w:t>Thực tiễn áp dụng pháp luật cho thấy, việc đồng thời tồn tại các quy định về hợp đồng trong Luật Thương mại và Bộ luật Dân sự đã tạo ra không ít vướng mắc trong xác định luật áp dụng đối với cùng một quan hệ hợp đồng. Trong nhiều vụ việc, tranh chấp không chỉ tập trung vào nghĩa vụ hợp đồng mà còn kéo dài do tranh luận về việc áp dụng Luật Thương mại hay Bộ luật Dân sự, đặc biệt đối với các giao dịch có yếu tố thương mại nhưng không thuần túy giữa các đối tượng là thương nhân.</w:t>
      </w:r>
    </w:p>
    <w:p w14:paraId="2D1231D4" w14:textId="77777777" w:rsidR="00AE79B5"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Việc bỏ các quy định về hợp đồng trong Luật Thương mại và thống nhất áp dụng Bộ luật Dân sự với tư cách là luật chung điều chỉnh quan hệ hợp đồng sẽ giúp xác định rõ ràng căn cứ pháp lý áp dụng ngay từ đầu, qua đó giảm đáng kể các tranh chấp phát sinh do xung đột hoặc chồng chéo giữa hai đạo luật.</w:t>
      </w:r>
    </w:p>
    <w:p w14:paraId="12F1E4BF" w14:textId="5348DB4E" w:rsidR="00537DD6" w:rsidRPr="00ED5E38" w:rsidRDefault="00537DD6" w:rsidP="00F866F8">
      <w:pPr>
        <w:spacing w:before="120" w:after="120" w:line="340" w:lineRule="exact"/>
        <w:ind w:firstLine="567"/>
        <w:jc w:val="both"/>
        <w:rPr>
          <w:iCs/>
          <w:noProof/>
          <w:color w:val="000000" w:themeColor="text1"/>
          <w:sz w:val="26"/>
          <w:szCs w:val="26"/>
          <w:lang w:val="vi-VN"/>
        </w:rPr>
      </w:pPr>
      <w:r w:rsidRPr="00ED5E38">
        <w:rPr>
          <w:noProof/>
          <w:color w:val="000000" w:themeColor="text1"/>
          <w:sz w:val="26"/>
          <w:szCs w:val="26"/>
          <w:lang w:val="vi-VN"/>
        </w:rPr>
        <w:t>Thứ hai, giảm chi phí xã hội liên quan đến giải quyết tranh chấp hợp đồng.</w:t>
      </w:r>
      <w:r w:rsidR="00AE79B5" w:rsidRPr="00ED5E38">
        <w:rPr>
          <w:noProof/>
          <w:color w:val="000000" w:themeColor="text1"/>
          <w:sz w:val="26"/>
          <w:szCs w:val="26"/>
          <w:lang w:val="vi-VN"/>
        </w:rPr>
        <w:t xml:space="preserve"> </w:t>
      </w:r>
      <w:r w:rsidRPr="00ED5E38">
        <w:rPr>
          <w:noProof/>
          <w:color w:val="000000" w:themeColor="text1"/>
          <w:sz w:val="26"/>
          <w:szCs w:val="26"/>
          <w:lang w:val="vi-VN"/>
        </w:rPr>
        <w:t>Theo các đánh giá quốc tế về thực thi hợp đồng (chỉ số “Enforcing Contracts” trong Báo cáo Doing Business 2020 (Báo cáo Môi trường Kinh doanh 2020 của WB)), thời gian trung bình để giải quyết một tranh chấp hợp đồng tại Việt Nam vào thời điểm đánh giá là khoảng 400 ngày, với tổng chi phí giải quyết tranh chấp ước tính khoảng 29% giá trị yêu cầu. Mặc dù phương pháp đánh giá này hiện nay không còn được cập nhật, song các số liệu trên vẫn phản ánh tương đối rõ gánh nặng chi phí xã hội của tranh chấp hợp đồng.</w:t>
      </w:r>
    </w:p>
    <w:p w14:paraId="64E13BEA" w14:textId="77777777" w:rsidR="00537DD6"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Trong bối cảnh đó, việc đơn giản hóa và thống nhất căn cứ pháp lý áp dụng cho quan hệ hợp đồng được kỳ vọng sẽ góp phần rút ngắn thời gian tranh tụng, giảm chi phí luật sư, chi phí tố tụng và chi phí cơ hội do gián đoạn hoạt động sản xuất, kinh doanh của doanh nghiệp.</w:t>
      </w:r>
    </w:p>
    <w:p w14:paraId="6421BEE7" w14:textId="6CE9BC0B" w:rsidR="003E3830"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Thứ ba, giảm áp lực cho hệ thống giải quyết tranh chấp.</w:t>
      </w:r>
      <w:r w:rsidR="00AE79B5" w:rsidRPr="00ED5E38">
        <w:rPr>
          <w:noProof/>
          <w:color w:val="000000" w:themeColor="text1"/>
          <w:sz w:val="26"/>
          <w:szCs w:val="26"/>
          <w:lang w:val="vi-VN"/>
        </w:rPr>
        <w:t xml:space="preserve"> </w:t>
      </w:r>
      <w:r w:rsidRPr="00ED5E38">
        <w:rPr>
          <w:noProof/>
          <w:color w:val="000000" w:themeColor="text1"/>
          <w:sz w:val="26"/>
          <w:szCs w:val="26"/>
          <w:lang w:val="vi-VN"/>
        </w:rPr>
        <w:t>Thống kê từ Trung tâm Trọng tài Quốc tế Việt Nam (VIAC) cho thấy, số lượng tranh chấp được thụ lý có xu hướng gia tăng nhanh trong những năm gần đây. Năm 2023, VIAC thụ lý 424 vụ tranh chấp, và năm 2024 con số này tiếp tục tăng lên 478 vụ, mức cao nhất kể từ khi VIAC được thành lập. Trong đó, phần lớn các vụ việc liên quan trực tiếp đến tranh chấp hợp đồng, như mua bán hàng hóa, xây dựng, bất động sản và cung ứng dịch vụ.</w:t>
      </w:r>
    </w:p>
    <w:p w14:paraId="35C7227D" w14:textId="77777777" w:rsidR="003E3830"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Việc giảm các tranh chấp phát sinh do không rõ luật áp dụng hoặc do cách hiểu khác nhau giữa Luật Thương mại và Bộ luật Dân sự sẽ góp phần giảm tải cho hệ thống trọng tài và tòa án, giúp các cơ quan này tập trung giải quyết nội dung tranh chấp thực chất thay vì các vấn đề kỹ thuật pháp lý.</w:t>
      </w:r>
    </w:p>
    <w:p w14:paraId="37DAAEE5" w14:textId="55F5122D" w:rsidR="00537DD6"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lastRenderedPageBreak/>
        <w:t>Về dài hạn, điều này góp phần củng cố niềm tin của doanh nghiệp vào tính ổn định và minh bạch của môi trường pháp lý, thúc đẩy đầu tư và mở rộng hoạt động kinh doanh.</w:t>
      </w:r>
    </w:p>
    <w:p w14:paraId="19CCAC51" w14:textId="77B1A03B" w:rsidR="00537DD6" w:rsidRPr="00ED5E38" w:rsidRDefault="00537DD6" w:rsidP="00F866F8">
      <w:pPr>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Tác động tiêu cực:</w:t>
      </w:r>
      <w:r w:rsidR="00AE79B5" w:rsidRPr="00ED5E38">
        <w:rPr>
          <w:noProof/>
          <w:color w:val="000000" w:themeColor="text1"/>
          <w:sz w:val="26"/>
          <w:szCs w:val="26"/>
          <w:lang w:val="vi-VN"/>
        </w:rPr>
        <w:t xml:space="preserve"> </w:t>
      </w:r>
      <w:r w:rsidRPr="00ED5E38">
        <w:rPr>
          <w:noProof/>
          <w:color w:val="000000" w:themeColor="text1"/>
          <w:sz w:val="26"/>
          <w:szCs w:val="26"/>
          <w:lang w:val="vi-VN"/>
        </w:rPr>
        <w:t>Nếu loại bỏ toàn bộ nội dung hợp đồng khỏi Luật Thương mại đòi hỏi các doanh nghiệp, tổ chức liên quan cần có thời gian thích ứng, thay đổi mẫu hợp đồng... Tuy nhiên tác động tiêu cực là không đáng kể.</w:t>
      </w:r>
    </w:p>
    <w:p w14:paraId="5BFB4F3B" w14:textId="67E6158D" w:rsidR="00537DD6" w:rsidRPr="00ED5E38" w:rsidRDefault="00F866F8" w:rsidP="00F866F8">
      <w:pPr>
        <w:tabs>
          <w:tab w:val="right" w:leader="dot" w:pos="7920"/>
        </w:tabs>
        <w:spacing w:before="120" w:after="120" w:line="340" w:lineRule="exact"/>
        <w:ind w:firstLine="567"/>
        <w:jc w:val="both"/>
        <w:rPr>
          <w:i/>
          <w:iCs/>
          <w:noProof/>
          <w:color w:val="000000" w:themeColor="text1"/>
          <w:sz w:val="26"/>
          <w:szCs w:val="26"/>
          <w:lang w:val="vi-VN"/>
        </w:rPr>
      </w:pPr>
      <w:r w:rsidRPr="00F866F8">
        <w:rPr>
          <w:b/>
          <w:bCs/>
          <w:i/>
          <w:iCs/>
          <w:noProof/>
          <w:color w:val="000000" w:themeColor="text1"/>
          <w:sz w:val="26"/>
          <w:szCs w:val="26"/>
          <w:lang w:val="vi-VN"/>
        </w:rPr>
        <w:t>-</w:t>
      </w:r>
      <w:r w:rsidR="007A7754" w:rsidRPr="00ED5E38">
        <w:rPr>
          <w:b/>
          <w:bCs/>
          <w:i/>
          <w:iCs/>
          <w:noProof/>
          <w:color w:val="000000" w:themeColor="text1"/>
          <w:sz w:val="26"/>
          <w:szCs w:val="26"/>
          <w:lang w:val="vi-VN"/>
        </w:rPr>
        <w:t xml:space="preserve"> </w:t>
      </w:r>
      <w:r w:rsidR="00537DD6" w:rsidRPr="00ED5E38">
        <w:rPr>
          <w:b/>
          <w:bCs/>
          <w:i/>
          <w:iCs/>
          <w:noProof/>
          <w:color w:val="000000" w:themeColor="text1"/>
          <w:sz w:val="26"/>
          <w:szCs w:val="26"/>
          <w:lang w:val="vi-VN"/>
        </w:rPr>
        <w:t xml:space="preserve">Tác động về giới (nếu có): </w:t>
      </w:r>
      <w:r w:rsidR="00537DD6" w:rsidRPr="00ED5E38">
        <w:rPr>
          <w:noProof/>
          <w:color w:val="000000" w:themeColor="text1"/>
          <w:sz w:val="26"/>
          <w:szCs w:val="26"/>
          <w:lang w:val="vi-VN"/>
        </w:rPr>
        <w:t>Giải pháp này không làm phát sinh tác động khác biệt về giới do nội dung điều chỉnh không liên quan trực tiếp đến các yếu tố giới tính, vai trò giới hoặc quyền, nghĩa vụ đặc thù của các nhóm giới khác nhau.</w:t>
      </w:r>
    </w:p>
    <w:p w14:paraId="531B5FED" w14:textId="203527F1" w:rsidR="00537DD6" w:rsidRPr="00ED5E38" w:rsidRDefault="00F866F8" w:rsidP="00F866F8">
      <w:pPr>
        <w:tabs>
          <w:tab w:val="right" w:leader="dot" w:pos="7920"/>
        </w:tabs>
        <w:spacing w:before="120" w:after="120" w:line="340" w:lineRule="exact"/>
        <w:ind w:firstLine="567"/>
        <w:jc w:val="both"/>
        <w:rPr>
          <w:b/>
          <w:bCs/>
          <w:noProof/>
          <w:color w:val="000000" w:themeColor="text1"/>
          <w:sz w:val="26"/>
          <w:szCs w:val="26"/>
          <w:lang w:val="vi-VN"/>
        </w:rPr>
      </w:pPr>
      <w:r w:rsidRPr="00F866F8">
        <w:rPr>
          <w:b/>
          <w:bCs/>
          <w:i/>
          <w:iCs/>
          <w:noProof/>
          <w:color w:val="000000" w:themeColor="text1"/>
          <w:sz w:val="26"/>
          <w:szCs w:val="26"/>
          <w:lang w:val="vi-VN"/>
        </w:rPr>
        <w:t>-</w:t>
      </w:r>
      <w:r w:rsidR="00537DD6" w:rsidRPr="00ED5E38">
        <w:rPr>
          <w:b/>
          <w:bCs/>
          <w:i/>
          <w:iCs/>
          <w:noProof/>
          <w:color w:val="000000" w:themeColor="text1"/>
          <w:sz w:val="26"/>
          <w:szCs w:val="26"/>
          <w:lang w:val="vi-VN"/>
        </w:rPr>
        <w:t xml:space="preserve"> Tác động của thủ tục hành chính (nếu có):</w:t>
      </w:r>
      <w:r w:rsidR="00537DD6" w:rsidRPr="00ED5E38">
        <w:rPr>
          <w:noProof/>
          <w:color w:val="000000" w:themeColor="text1"/>
          <w:sz w:val="26"/>
          <w:szCs w:val="26"/>
          <w:lang w:val="vi-VN"/>
        </w:rPr>
        <w:t xml:space="preserve"> Giải pháp không làm phát sinh thủ tục hành chính mới</w:t>
      </w:r>
      <w:r w:rsidR="00AE09E6" w:rsidRPr="00ED5E38">
        <w:rPr>
          <w:noProof/>
          <w:color w:val="000000" w:themeColor="text1"/>
          <w:sz w:val="26"/>
          <w:szCs w:val="26"/>
          <w:lang w:val="vi-VN"/>
        </w:rPr>
        <w:t xml:space="preserve"> mà còn giúp cắt giảm các thủ tục về đăng ký dấu giám định thương mại.</w:t>
      </w:r>
    </w:p>
    <w:p w14:paraId="5C3BEA9A"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Việc cắt giảm điều kiện kinh doanh trong lĩnh vực giám định thương mại góp phần đơn giản hóa điều kiện gia nhập thị trường, tạo môi trường thuận lợi hơn cho cá nhân, tổ chức đủ năng lực chuyên môn tham gia hoạt động giám định thương mại. </w:t>
      </w:r>
    </w:p>
    <w:p w14:paraId="01A3F82E" w14:textId="77777777" w:rsidR="00537DD6" w:rsidRPr="0027142B" w:rsidRDefault="00537DD6" w:rsidP="0027142B">
      <w:pPr>
        <w:pStyle w:val="Heading2"/>
      </w:pPr>
      <w:r w:rsidRPr="0027142B">
        <w:t>b) Giải pháp 2: Sửa đổi và dẫn chiếu các quy định của Luật Thương mại theo hướng thống nhất pháp luật, tăng cường hậu kiểm và bảo đảm tính chuyển tiếp ổn định của môi trường kinh doanh</w:t>
      </w:r>
    </w:p>
    <w:p w14:paraId="0A74B536" w14:textId="77777777" w:rsidR="00537DD6" w:rsidRPr="00ED5E38" w:rsidRDefault="00537DD6" w:rsidP="00F866F8">
      <w:pPr>
        <w:tabs>
          <w:tab w:val="right" w:leader="dot" w:pos="7920"/>
        </w:tabs>
        <w:spacing w:before="120" w:after="120" w:line="340" w:lineRule="exact"/>
        <w:ind w:firstLine="567"/>
        <w:jc w:val="both"/>
        <w:rPr>
          <w:bCs/>
          <w:noProof/>
          <w:color w:val="000000" w:themeColor="text1"/>
          <w:sz w:val="26"/>
          <w:szCs w:val="26"/>
          <w:lang w:val="vi-VN"/>
        </w:rPr>
      </w:pPr>
      <w:r w:rsidRPr="00ED5E38">
        <w:rPr>
          <w:bCs/>
          <w:noProof/>
          <w:color w:val="000000" w:themeColor="text1"/>
          <w:sz w:val="26"/>
          <w:szCs w:val="26"/>
          <w:lang w:val="vi-VN"/>
        </w:rPr>
        <w:t>Cụ thể:</w:t>
      </w:r>
    </w:p>
    <w:p w14:paraId="3A588A72"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(i) Đối với hàng hóa, dịch vụ cấm kinh doanh, hạn chế kinh doanh, kinh doanh có điều kiện (Điều 25, Điều 76 Luật Thương mại): </w:t>
      </w:r>
    </w:p>
    <w:p w14:paraId="71C414BC"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 Quy định tại Luật Thương mại chỉ mang tính nguyên tắc và dẫn chiếu sang Danh mục ngành, nghề cấm đầu tư kinh doanh và đầu tư kinh doanh có điều kiện của Luật Đầu tư (và luật chuyên ngành liên quan). </w:t>
      </w:r>
    </w:p>
    <w:p w14:paraId="0A5C6650"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Bỏ quy định giao “Chính phủ quy định cụ thể danh mục hàng hoá cấm kinh doanh, hàng hoá hạn chế kinh doanh, hàng hoá kinh doanh có điều kiện và điều kiện để được kinh doanh hàng hóa đó” mà quy định theo hướng Danh mục, điều kiện hạn chế quyền tự do kinh doanh chỉ được quy định tại luật, Chính phủ chỉ quy định biện pháp tổ chức hậu kiểm. Theo đó, vẫn giữ quy định về nội dung này trong Luật Thương mại để tổ chức, cá nhân áp dụng dễ tra cứu, nhưng không tạo danh mục song song với Luật Đầu tư (vốn đang được ưu tiên áp dụng khi có sự khác nhau).</w:t>
      </w:r>
    </w:p>
    <w:p w14:paraId="15CDC1D7"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(ii) Đối với dịch vụ giám định thương mại (Điều 256, 257 Luật Thương mại): Bãi bỏ điều kiện giám định thương mại thực hiện quản lý chất lượng dich vụ thông qua việc đáp ứng tiêu chuẩn, quy chuẩn, chuyển sang hậu kiểm. </w:t>
      </w:r>
    </w:p>
    <w:p w14:paraId="1192001E"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(iii) Đối với độc quyền nhà nước (khoản 4 Điều 6 Luật Thương mại): Bãi bỏ hoàn toàn quy định độc quyền nhà nước tại Luật Thương mại, xây dựng một luật chung về độc quyền nhà nước đảm bảo phù hợp với Hiến pháp.</w:t>
      </w:r>
    </w:p>
    <w:p w14:paraId="291B3C6B"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(iv) Đối với nhóm quy định về hợp đồng và giải quyết tranh chấp trong Luật Thương mại: </w:t>
      </w:r>
    </w:p>
    <w:p w14:paraId="5C7ABFB5" w14:textId="62010102" w:rsidR="00E36397" w:rsidRPr="00ED5E38" w:rsidRDefault="00E36397"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lastRenderedPageBreak/>
        <w:t>Bãi bỏ một số quy định về hợp đồng và giải quyết tranh chấp trong Luật Thương mại</w:t>
      </w:r>
    </w:p>
    <w:p w14:paraId="222232A6"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Theo đó, tác động của giải pháp này đối với hệ thống pháp luật, kinh tế - xã hội, giới và thủ tục hành chính như sau:</w:t>
      </w:r>
    </w:p>
    <w:p w14:paraId="14FDCA85"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b/>
          <w:i/>
          <w:noProof/>
          <w:color w:val="000000" w:themeColor="text1"/>
          <w:sz w:val="26"/>
          <w:szCs w:val="26"/>
          <w:lang w:val="vi-VN"/>
        </w:rPr>
        <w:t>- Tác động đối với hệ thống pháp luật</w:t>
      </w:r>
      <w:r w:rsidRPr="00ED5E38">
        <w:rPr>
          <w:noProof/>
          <w:color w:val="000000" w:themeColor="text1"/>
          <w:sz w:val="26"/>
          <w:szCs w:val="26"/>
          <w:lang w:val="vi-VN"/>
        </w:rPr>
        <w:t xml:space="preserve"> </w:t>
      </w:r>
    </w:p>
    <w:p w14:paraId="674F1D57"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 Tác động tích cực: Giảm xung đột, chồng chéo với Luật Đầu tư 2025 bằng cơ chế dẫn chiếu và thống nhất đầu mối danh mục, phù hợp nguyên tắc áp dụng Luật Đầu tư khi có khác nhau; Hạn chế rủi ro “phân tán quy định” do bãi bỏ quá nhiều; vẫn giữ quy phạm nền trong Luật Thương mại để bảo đảm tính hệ thống, thuận lợi áp dụng. </w:t>
      </w:r>
    </w:p>
    <w:p w14:paraId="61258851"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 Tác động tiêu cực: Nguy cơ “dẫn chiếu nhiều” làm Luật Thương mại giảm tính độc lập, người áp dụng phải tra cứu nhiều luật; Việc triển khai cơ chế đăng ký/thông báo đối với dịch vụ giám định thương mại có thể bị coi là “biến tướng điều kiện kinh doanh” mới. </w:t>
      </w:r>
    </w:p>
    <w:p w14:paraId="77EB72F9"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 </w:t>
      </w:r>
      <w:r w:rsidRPr="00ED5E38">
        <w:rPr>
          <w:b/>
          <w:i/>
          <w:noProof/>
          <w:color w:val="000000" w:themeColor="text1"/>
          <w:sz w:val="26"/>
          <w:szCs w:val="26"/>
          <w:lang w:val="vi-VN"/>
        </w:rPr>
        <w:t>- Tác động kinh tế – xã hội</w:t>
      </w:r>
      <w:r w:rsidRPr="00ED5E38">
        <w:rPr>
          <w:noProof/>
          <w:color w:val="000000" w:themeColor="text1"/>
          <w:sz w:val="26"/>
          <w:szCs w:val="26"/>
          <w:lang w:val="vi-VN"/>
        </w:rPr>
        <w:t xml:space="preserve"> </w:t>
      </w:r>
    </w:p>
    <w:p w14:paraId="1EA6BBB6"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Đối với Nhà nước, giải pháp này có thể giảm gánh nặng “tiền kiểm” thuần tuý; tăng minh bạch khi quy định về danh mục/điều kiện ở luật đầu mối và luật chuyên ngành. Tuy nhiên, giải pháp có thể làm tăng chi phí ở khâu hậu kiểm/giám sát tuân thủ, nhất là giai đoạn chuyển tiếp (do phải tăng kiểm tra chất lượng giám định, kiểm tra việc tuân thủ tiêu chuẩn). </w:t>
      </w:r>
    </w:p>
    <w:p w14:paraId="7D7BF554"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 xml:space="preserve">Đối với Doanh nghiệp, giải pháp giúp giảm chi phí tuân thủ và thời gian gia nhập thị trường theo hướng xã hội hoá, phù hợp lập luận về chuyển từ tiền kiểm sang hậu kiểm như Giải pháp 1. Tuy nhiên, nếu áp dụng các tiêu chuẩn về năng lực, nghề nghiệp có thể phát sinh chi phí tuân thủ mới cho một số chủ thể nhỏ. </w:t>
      </w:r>
    </w:p>
    <w:p w14:paraId="177F8AE8"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Đối với người dân/tổ chức sử dụng dịch vụ: giải pháp dẫn đến tăng lựa chọn nhà cung cấp dịch vụ giám định, khả năng cạnh tranh về giá/chất lượng. Tuy nhiên, rủi ro chất lượng dịch vụ tăng trong ngắn hạn nếu hậu kiểm không đủ mạnh.</w:t>
      </w:r>
    </w:p>
    <w:p w14:paraId="1300B5A2" w14:textId="77777777"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b/>
          <w:i/>
          <w:noProof/>
          <w:color w:val="000000" w:themeColor="text1"/>
          <w:sz w:val="26"/>
          <w:szCs w:val="26"/>
          <w:lang w:val="vi-VN"/>
        </w:rPr>
        <w:t>- Tác động về giới (nếu có)</w:t>
      </w:r>
      <w:r w:rsidRPr="00ED5E38">
        <w:rPr>
          <w:noProof/>
          <w:color w:val="000000" w:themeColor="text1"/>
          <w:sz w:val="26"/>
          <w:szCs w:val="26"/>
          <w:lang w:val="vi-VN"/>
        </w:rPr>
        <w:t xml:space="preserve"> </w:t>
      </w:r>
    </w:p>
    <w:p w14:paraId="1D44C90B" w14:textId="5039950A" w:rsidR="00537DD6" w:rsidRPr="00ED5E38" w:rsidRDefault="00537DD6" w:rsidP="00F866F8">
      <w:pPr>
        <w:tabs>
          <w:tab w:val="right" w:leader="dot" w:pos="7920"/>
        </w:tabs>
        <w:spacing w:before="120" w:after="120" w:line="340" w:lineRule="exact"/>
        <w:ind w:firstLine="567"/>
        <w:jc w:val="both"/>
        <w:rPr>
          <w:noProof/>
          <w:color w:val="000000" w:themeColor="text1"/>
          <w:sz w:val="26"/>
          <w:szCs w:val="26"/>
          <w:lang w:val="vi-VN"/>
        </w:rPr>
      </w:pPr>
      <w:r w:rsidRPr="00ED5E38">
        <w:rPr>
          <w:noProof/>
          <w:color w:val="000000" w:themeColor="text1"/>
          <w:sz w:val="26"/>
          <w:szCs w:val="26"/>
          <w:lang w:val="vi-VN"/>
        </w:rPr>
        <w:t>Giải pháp này không tạo khác biệt trực tiếp theo giới trong tiếp cận cơ hội kinh doanh hay thụ hưởng quyền lợi</w:t>
      </w:r>
      <w:r w:rsidR="00AE79B5" w:rsidRPr="00ED5E38">
        <w:rPr>
          <w:noProof/>
          <w:color w:val="000000" w:themeColor="text1"/>
          <w:sz w:val="26"/>
          <w:szCs w:val="26"/>
          <w:lang w:val="vi-VN"/>
        </w:rPr>
        <w:t>.</w:t>
      </w:r>
    </w:p>
    <w:p w14:paraId="4B1A57D1" w14:textId="0CBC883D" w:rsidR="00537DD6" w:rsidRPr="00ED5E38" w:rsidRDefault="00537DD6" w:rsidP="00F866F8">
      <w:pPr>
        <w:tabs>
          <w:tab w:val="right" w:leader="dot" w:pos="7920"/>
        </w:tabs>
        <w:spacing w:before="120" w:after="120" w:line="340" w:lineRule="exact"/>
        <w:ind w:firstLine="567"/>
        <w:jc w:val="both"/>
        <w:rPr>
          <w:b/>
          <w:bCs/>
          <w:noProof/>
          <w:color w:val="000000" w:themeColor="text1"/>
          <w:sz w:val="26"/>
          <w:szCs w:val="26"/>
          <w:lang w:val="vi-VN"/>
        </w:rPr>
      </w:pPr>
      <w:r w:rsidRPr="00ED5E38">
        <w:rPr>
          <w:b/>
          <w:i/>
          <w:noProof/>
          <w:color w:val="000000" w:themeColor="text1"/>
          <w:sz w:val="26"/>
          <w:szCs w:val="26"/>
          <w:lang w:val="vi-VN"/>
        </w:rPr>
        <w:t>- Tác động của thủ tục hành chính</w:t>
      </w:r>
      <w:r w:rsidRPr="00ED5E38">
        <w:rPr>
          <w:noProof/>
          <w:color w:val="000000" w:themeColor="text1"/>
          <w:sz w:val="26"/>
          <w:szCs w:val="26"/>
          <w:lang w:val="vi-VN"/>
        </w:rPr>
        <w:t xml:space="preserve"> : Giải pháp không làm phát sinh thủ tục hành chính mới</w:t>
      </w:r>
      <w:r w:rsidR="00AE79B5" w:rsidRPr="00ED5E38">
        <w:rPr>
          <w:b/>
          <w:bCs/>
          <w:noProof/>
          <w:color w:val="000000" w:themeColor="text1"/>
          <w:sz w:val="26"/>
          <w:szCs w:val="26"/>
          <w:lang w:val="vi-VN"/>
        </w:rPr>
        <w:t>.</w:t>
      </w:r>
    </w:p>
    <w:p w14:paraId="4CA7D959" w14:textId="77777777" w:rsidR="00537DD6" w:rsidRPr="00ED5E38" w:rsidRDefault="00537DD6" w:rsidP="006400D7">
      <w:pPr>
        <w:pStyle w:val="Heading1"/>
      </w:pPr>
      <w:r w:rsidRPr="00ED5E38">
        <w:t>2.1.2.2. Giải pháp tối ưu được lựa chọn và lý do lựa chọn giải pháp:</w:t>
      </w:r>
    </w:p>
    <w:p w14:paraId="086A69E9" w14:textId="11A964AF" w:rsidR="000456F5" w:rsidRPr="00ED5E38" w:rsidRDefault="00507A9C" w:rsidP="00F866F8">
      <w:pPr>
        <w:spacing w:before="120" w:after="120" w:line="340" w:lineRule="exact"/>
        <w:ind w:firstLine="567"/>
        <w:rPr>
          <w:noProof/>
          <w:color w:val="000000" w:themeColor="text1"/>
          <w:sz w:val="26"/>
          <w:szCs w:val="26"/>
          <w:lang w:val="vi-VN"/>
        </w:rPr>
      </w:pPr>
      <w:r w:rsidRPr="00ED5E38">
        <w:rPr>
          <w:noProof/>
          <w:color w:val="000000" w:themeColor="text1"/>
          <w:sz w:val="26"/>
          <w:szCs w:val="26"/>
          <w:lang w:val="vi-VN"/>
        </w:rPr>
        <w:t xml:space="preserve">* </w:t>
      </w:r>
      <w:r w:rsidR="00E36397" w:rsidRPr="00ED5E38">
        <w:rPr>
          <w:noProof/>
          <w:color w:val="000000" w:themeColor="text1"/>
          <w:sz w:val="26"/>
          <w:szCs w:val="26"/>
          <w:lang w:val="vi-VN"/>
        </w:rPr>
        <w:t>So sánh ưu điểm, nhược điểm Giải pháp 1 và Giải pháp 2:</w:t>
      </w:r>
    </w:p>
    <w:tbl>
      <w:tblPr>
        <w:tblStyle w:val="TableGrid"/>
        <w:tblW w:w="10774" w:type="dxa"/>
        <w:tblInd w:w="-856" w:type="dxa"/>
        <w:tblLook w:val="04A0" w:firstRow="1" w:lastRow="0" w:firstColumn="1" w:lastColumn="0" w:noHBand="0" w:noVBand="1"/>
      </w:tblPr>
      <w:tblGrid>
        <w:gridCol w:w="1985"/>
        <w:gridCol w:w="4395"/>
        <w:gridCol w:w="4394"/>
      </w:tblGrid>
      <w:tr w:rsidR="007A7754" w:rsidRPr="00ED5E38" w14:paraId="6059D2FB" w14:textId="77777777" w:rsidTr="00F866F8">
        <w:tc>
          <w:tcPr>
            <w:tcW w:w="1985" w:type="dxa"/>
            <w:vAlign w:val="center"/>
          </w:tcPr>
          <w:p w14:paraId="50C9C60C" w14:textId="2D4822EE" w:rsidR="007A7754" w:rsidRPr="00ED5E38" w:rsidRDefault="007A7754" w:rsidP="00F866F8">
            <w:pPr>
              <w:pStyle w:val="NormalWeb"/>
              <w:spacing w:before="60" w:beforeAutospacing="0" w:after="60" w:afterAutospacing="0"/>
              <w:jc w:val="center"/>
              <w:rPr>
                <w:b/>
                <w:bCs/>
                <w:noProof/>
                <w:color w:val="000000" w:themeColor="text1"/>
                <w:sz w:val="26"/>
                <w:szCs w:val="26"/>
                <w:lang w:val="vi-VN"/>
              </w:rPr>
            </w:pPr>
            <w:r w:rsidRPr="00ED5E38">
              <w:rPr>
                <w:b/>
                <w:bCs/>
                <w:noProof/>
                <w:color w:val="000000" w:themeColor="text1"/>
                <w:sz w:val="26"/>
                <w:szCs w:val="26"/>
                <w:lang w:val="vi-VN"/>
              </w:rPr>
              <w:t>Tiêu chí</w:t>
            </w:r>
          </w:p>
        </w:tc>
        <w:tc>
          <w:tcPr>
            <w:tcW w:w="4395" w:type="dxa"/>
            <w:vAlign w:val="center"/>
          </w:tcPr>
          <w:p w14:paraId="67BF9DDD" w14:textId="721F247D" w:rsidR="007A7754" w:rsidRPr="00ED5E38" w:rsidRDefault="007A7754" w:rsidP="00F866F8">
            <w:pPr>
              <w:pStyle w:val="NormalWeb"/>
              <w:spacing w:before="60" w:beforeAutospacing="0" w:after="60" w:afterAutospacing="0"/>
              <w:jc w:val="center"/>
              <w:rPr>
                <w:b/>
                <w:bCs/>
                <w:noProof/>
                <w:color w:val="000000" w:themeColor="text1"/>
                <w:sz w:val="26"/>
                <w:szCs w:val="26"/>
                <w:lang w:val="vi-VN"/>
              </w:rPr>
            </w:pPr>
            <w:r w:rsidRPr="00ED5E38">
              <w:rPr>
                <w:rStyle w:val="Strong"/>
                <w:noProof/>
                <w:color w:val="000000" w:themeColor="text1"/>
                <w:sz w:val="26"/>
                <w:szCs w:val="26"/>
                <w:lang w:val="vi-VN"/>
              </w:rPr>
              <w:t>Giải pháp 1</w:t>
            </w:r>
          </w:p>
        </w:tc>
        <w:tc>
          <w:tcPr>
            <w:tcW w:w="4394" w:type="dxa"/>
            <w:vAlign w:val="center"/>
          </w:tcPr>
          <w:p w14:paraId="3D1817E7" w14:textId="28AF8F74" w:rsidR="007A7754" w:rsidRPr="00ED5E38" w:rsidRDefault="007A7754" w:rsidP="00F866F8">
            <w:pPr>
              <w:pStyle w:val="NormalWeb"/>
              <w:spacing w:before="60" w:beforeAutospacing="0" w:after="60" w:afterAutospacing="0"/>
              <w:jc w:val="center"/>
              <w:rPr>
                <w:b/>
                <w:bCs/>
                <w:noProof/>
                <w:color w:val="000000" w:themeColor="text1"/>
                <w:sz w:val="26"/>
                <w:szCs w:val="26"/>
                <w:lang w:val="vi-VN"/>
              </w:rPr>
            </w:pPr>
            <w:r w:rsidRPr="00ED5E38">
              <w:rPr>
                <w:rStyle w:val="Strong"/>
                <w:noProof/>
                <w:color w:val="000000" w:themeColor="text1"/>
                <w:sz w:val="26"/>
                <w:szCs w:val="26"/>
                <w:lang w:val="vi-VN"/>
              </w:rPr>
              <w:t>Giải pháp 2</w:t>
            </w:r>
          </w:p>
        </w:tc>
      </w:tr>
      <w:tr w:rsidR="007A7754" w:rsidRPr="00ED5E38" w14:paraId="6A97F32F" w14:textId="77777777" w:rsidTr="00F866F8">
        <w:tc>
          <w:tcPr>
            <w:tcW w:w="1985" w:type="dxa"/>
            <w:vAlign w:val="center"/>
          </w:tcPr>
          <w:p w14:paraId="70FFCDC2" w14:textId="2019AF42"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Cách tiếp cận</w:t>
            </w:r>
          </w:p>
        </w:tc>
        <w:tc>
          <w:tcPr>
            <w:tcW w:w="4395" w:type="dxa"/>
            <w:vAlign w:val="center"/>
          </w:tcPr>
          <w:p w14:paraId="20857EDE" w14:textId="146532EC"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Bãi bỏ quy định về danh mục cấm/hạn chế; bãi bỏ điều kiện giám định; bãi bỏ </w:t>
            </w:r>
            <w:r w:rsidRPr="00ED5E38">
              <w:rPr>
                <w:noProof/>
                <w:color w:val="000000" w:themeColor="text1"/>
                <w:sz w:val="26"/>
                <w:szCs w:val="26"/>
                <w:lang w:val="vi-VN"/>
              </w:rPr>
              <w:lastRenderedPageBreak/>
              <w:t>độc quyền nhà nước tại Luật Thương mại; bãi bỏ nội dung hợp đồng</w:t>
            </w:r>
          </w:p>
        </w:tc>
        <w:tc>
          <w:tcPr>
            <w:tcW w:w="4394" w:type="dxa"/>
            <w:vAlign w:val="center"/>
          </w:tcPr>
          <w:p w14:paraId="3C60D9FF" w14:textId="095F4734"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lastRenderedPageBreak/>
              <w:t xml:space="preserve">Giữ quy định nguyên tắc tại Luật Thương mại dẫn chiếu Luật Đầu tư; </w:t>
            </w:r>
            <w:r w:rsidRPr="00ED5E38">
              <w:rPr>
                <w:noProof/>
                <w:color w:val="000000" w:themeColor="text1"/>
                <w:sz w:val="26"/>
                <w:szCs w:val="26"/>
                <w:lang w:val="vi-VN"/>
              </w:rPr>
              <w:lastRenderedPageBreak/>
              <w:t>chuyển mạnh sang hậu kiểm; bãi bỏ có chọn lọc</w:t>
            </w:r>
          </w:p>
        </w:tc>
      </w:tr>
      <w:tr w:rsidR="007A7754" w:rsidRPr="00ED5E38" w14:paraId="5CE4B1D3" w14:textId="77777777" w:rsidTr="00F866F8">
        <w:tc>
          <w:tcPr>
            <w:tcW w:w="1985" w:type="dxa"/>
            <w:vAlign w:val="center"/>
          </w:tcPr>
          <w:p w14:paraId="62595353" w14:textId="273B4399"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lastRenderedPageBreak/>
              <w:t>Tác động đến hệ thống pháp luật</w:t>
            </w:r>
          </w:p>
        </w:tc>
        <w:tc>
          <w:tcPr>
            <w:tcW w:w="4395" w:type="dxa"/>
            <w:vAlign w:val="center"/>
          </w:tcPr>
          <w:p w14:paraId="17DE7DA8" w14:textId="279D16C8"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Giảm triệt để chồng chéo; khẳng định vai trò luật chung (BLDS, Luật Đầu tư)</w:t>
            </w:r>
          </w:p>
        </w:tc>
        <w:tc>
          <w:tcPr>
            <w:tcW w:w="4394" w:type="dxa"/>
            <w:vAlign w:val="center"/>
          </w:tcPr>
          <w:p w14:paraId="4D875C17" w14:textId="507FB419"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Giảm xung đột nhưng vẫn giữ “khung” trong Luật Thương mại để thuận tiện tra cứu </w:t>
            </w:r>
          </w:p>
        </w:tc>
      </w:tr>
      <w:tr w:rsidR="007A7754" w:rsidRPr="00ED5E38" w14:paraId="19034B3B" w14:textId="77777777" w:rsidTr="00F866F8">
        <w:tc>
          <w:tcPr>
            <w:tcW w:w="1985" w:type="dxa"/>
            <w:vAlign w:val="center"/>
          </w:tcPr>
          <w:p w14:paraId="4C86D2D4" w14:textId="4E2CFAD3"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Mức độ cải cách</w:t>
            </w:r>
          </w:p>
        </w:tc>
        <w:tc>
          <w:tcPr>
            <w:tcW w:w="4395" w:type="dxa"/>
            <w:vAlign w:val="center"/>
          </w:tcPr>
          <w:p w14:paraId="6B52ED6C" w14:textId="2E9F3F07"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Mạnh, mang tính tái cấu trúc</w:t>
            </w:r>
          </w:p>
        </w:tc>
        <w:tc>
          <w:tcPr>
            <w:tcW w:w="4394" w:type="dxa"/>
            <w:vAlign w:val="center"/>
          </w:tcPr>
          <w:p w14:paraId="676B4357" w14:textId="2E41C93C"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Thận trọng, chuyển tiếp ổn định</w:t>
            </w:r>
          </w:p>
        </w:tc>
      </w:tr>
      <w:tr w:rsidR="007A7754" w:rsidRPr="00ED5E38" w14:paraId="5C77566C" w14:textId="77777777" w:rsidTr="00F866F8">
        <w:tc>
          <w:tcPr>
            <w:tcW w:w="1985" w:type="dxa"/>
            <w:vAlign w:val="center"/>
          </w:tcPr>
          <w:p w14:paraId="2E69DC1E" w14:textId="2CD1C689"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Tác động kinh tế – xã hội</w:t>
            </w:r>
          </w:p>
        </w:tc>
        <w:tc>
          <w:tcPr>
            <w:tcW w:w="4395" w:type="dxa"/>
            <w:vAlign w:val="center"/>
          </w:tcPr>
          <w:p w14:paraId="2E2E41E4" w14:textId="06BA310B"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Giảm chi phí tuân thủ rõ rệt; tăng tự do kinh doanh; giảm tranh chấp do thống nhất căn cứ pháp lý </w:t>
            </w:r>
          </w:p>
        </w:tc>
        <w:tc>
          <w:tcPr>
            <w:tcW w:w="4394" w:type="dxa"/>
            <w:vAlign w:val="center"/>
          </w:tcPr>
          <w:p w14:paraId="3FA29D3F" w14:textId="2FF81A1C"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Giảm chi phí gia nhập thị trường; tăng cạnh tranh nhưng có nguy cơ tăng chi phí hậu kiểm </w:t>
            </w:r>
          </w:p>
        </w:tc>
      </w:tr>
      <w:tr w:rsidR="007A7754" w:rsidRPr="00ED5E38" w14:paraId="534DC8D5" w14:textId="77777777" w:rsidTr="00F866F8">
        <w:tc>
          <w:tcPr>
            <w:tcW w:w="1985" w:type="dxa"/>
            <w:vAlign w:val="center"/>
          </w:tcPr>
          <w:p w14:paraId="693B5396" w14:textId="5C0E76F7"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Rủi ro</w:t>
            </w:r>
          </w:p>
        </w:tc>
        <w:tc>
          <w:tcPr>
            <w:tcW w:w="4395" w:type="dxa"/>
            <w:vAlign w:val="center"/>
          </w:tcPr>
          <w:p w14:paraId="24027FFB" w14:textId="31F6D6EB"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Doanh nghiệp cần thời gian thích ứng; thay đổi mẫu hợp đồng </w:t>
            </w:r>
          </w:p>
        </w:tc>
        <w:tc>
          <w:tcPr>
            <w:tcW w:w="4394" w:type="dxa"/>
            <w:vAlign w:val="center"/>
          </w:tcPr>
          <w:p w14:paraId="0EF47589" w14:textId="659FD281"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Nguy cơ “dẫn chiếu nhiều” làm giảm tính độc lập của Luật Thương mại</w:t>
            </w:r>
          </w:p>
        </w:tc>
      </w:tr>
      <w:tr w:rsidR="007A7754" w:rsidRPr="00ED5E38" w14:paraId="5275AD1F" w14:textId="77777777" w:rsidTr="00F866F8">
        <w:tc>
          <w:tcPr>
            <w:tcW w:w="1985" w:type="dxa"/>
            <w:vAlign w:val="center"/>
          </w:tcPr>
          <w:p w14:paraId="6A1E78D4" w14:textId="3F5B9699"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Thủ tục hành chính</w:t>
            </w:r>
          </w:p>
        </w:tc>
        <w:tc>
          <w:tcPr>
            <w:tcW w:w="4395" w:type="dxa"/>
            <w:vAlign w:val="center"/>
          </w:tcPr>
          <w:p w14:paraId="2E0E5AF9" w14:textId="37AD4F76"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 xml:space="preserve">Không phát sinh TTHC mới </w:t>
            </w:r>
          </w:p>
        </w:tc>
        <w:tc>
          <w:tcPr>
            <w:tcW w:w="4394" w:type="dxa"/>
            <w:vAlign w:val="center"/>
          </w:tcPr>
          <w:p w14:paraId="0ECE4094" w14:textId="77777777" w:rsidR="007A7754" w:rsidRPr="00ED5E38" w:rsidRDefault="007A7754" w:rsidP="00F866F8">
            <w:pPr>
              <w:spacing w:before="60" w:after="60"/>
              <w:jc w:val="both"/>
              <w:rPr>
                <w:rStyle w:val="relative"/>
                <w:noProof/>
                <w:color w:val="000000" w:themeColor="text1"/>
                <w:sz w:val="26"/>
                <w:szCs w:val="26"/>
                <w:lang w:val="vi-VN"/>
              </w:rPr>
            </w:pPr>
            <w:r w:rsidRPr="00ED5E38">
              <w:rPr>
                <w:noProof/>
                <w:color w:val="000000" w:themeColor="text1"/>
                <w:sz w:val="26"/>
                <w:szCs w:val="26"/>
                <w:lang w:val="vi-VN"/>
              </w:rPr>
              <w:t xml:space="preserve">Không phát sinh TTHC mới </w:t>
            </w:r>
          </w:p>
          <w:p w14:paraId="77C4C2E4" w14:textId="77777777" w:rsidR="007A7754" w:rsidRPr="00ED5E38" w:rsidRDefault="007A7754" w:rsidP="00F866F8">
            <w:pPr>
              <w:pStyle w:val="NormalWeb"/>
              <w:spacing w:before="60" w:beforeAutospacing="0" w:after="60" w:afterAutospacing="0"/>
              <w:jc w:val="both"/>
              <w:rPr>
                <w:noProof/>
                <w:color w:val="000000" w:themeColor="text1"/>
                <w:sz w:val="26"/>
                <w:szCs w:val="26"/>
                <w:lang w:val="vi-VN"/>
              </w:rPr>
            </w:pPr>
          </w:p>
        </w:tc>
      </w:tr>
      <w:tr w:rsidR="007A7754" w:rsidRPr="00ED5E38" w14:paraId="7BED6E48" w14:textId="77777777" w:rsidTr="00F866F8">
        <w:tc>
          <w:tcPr>
            <w:tcW w:w="1985" w:type="dxa"/>
            <w:vAlign w:val="center"/>
          </w:tcPr>
          <w:p w14:paraId="077F67B1" w14:textId="19903806"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rStyle w:val="Strong"/>
                <w:b w:val="0"/>
                <w:bCs w:val="0"/>
                <w:noProof/>
                <w:color w:val="000000" w:themeColor="text1"/>
                <w:sz w:val="26"/>
                <w:szCs w:val="26"/>
                <w:lang w:val="vi-VN"/>
              </w:rPr>
              <w:t>Phù hợp định hướng cải cách</w:t>
            </w:r>
          </w:p>
        </w:tc>
        <w:tc>
          <w:tcPr>
            <w:tcW w:w="4395" w:type="dxa"/>
            <w:vAlign w:val="center"/>
          </w:tcPr>
          <w:p w14:paraId="3DB99438" w14:textId="4CC1F1E1"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Phù hợp mạnh mẽ chủ trương cắt giảm điều kiện, phát triển kinh tế tư nhân</w:t>
            </w:r>
          </w:p>
        </w:tc>
        <w:tc>
          <w:tcPr>
            <w:tcW w:w="4394" w:type="dxa"/>
            <w:vAlign w:val="center"/>
          </w:tcPr>
          <w:p w14:paraId="1377F48D" w14:textId="47692B51" w:rsidR="007A7754" w:rsidRPr="00ED5E38" w:rsidRDefault="007A7754" w:rsidP="00F866F8">
            <w:pPr>
              <w:pStyle w:val="NormalWeb"/>
              <w:spacing w:before="60" w:beforeAutospacing="0" w:after="60" w:afterAutospacing="0"/>
              <w:jc w:val="both"/>
              <w:rPr>
                <w:noProof/>
                <w:color w:val="000000" w:themeColor="text1"/>
                <w:sz w:val="26"/>
                <w:szCs w:val="26"/>
                <w:lang w:val="vi-VN"/>
              </w:rPr>
            </w:pPr>
            <w:r w:rsidRPr="00ED5E38">
              <w:rPr>
                <w:noProof/>
                <w:color w:val="000000" w:themeColor="text1"/>
                <w:sz w:val="26"/>
                <w:szCs w:val="26"/>
                <w:lang w:val="vi-VN"/>
              </w:rPr>
              <w:t>Phù hợp nhưng ở mức độ thận trọng hơn</w:t>
            </w:r>
          </w:p>
        </w:tc>
      </w:tr>
    </w:tbl>
    <w:p w14:paraId="13833123" w14:textId="6E59D310" w:rsidR="00E36397" w:rsidRPr="00ED5E38" w:rsidRDefault="007A7754" w:rsidP="00893D79">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Trên cơ sở các nội dung</w:t>
      </w:r>
      <w:r w:rsidR="00E36397" w:rsidRPr="00ED5E38">
        <w:rPr>
          <w:noProof/>
          <w:color w:val="000000" w:themeColor="text1"/>
          <w:sz w:val="26"/>
          <w:szCs w:val="26"/>
          <w:lang w:val="vi-VN"/>
        </w:rPr>
        <w:t xml:space="preserve"> so sánh Giải pháp 1 và Giải pháp 2, Bộ Công Thương kiến nghị lựa chọn “</w:t>
      </w:r>
      <w:r w:rsidR="00E36397" w:rsidRPr="00ED5E38">
        <w:rPr>
          <w:b/>
          <w:bCs/>
          <w:noProof/>
          <w:color w:val="000000" w:themeColor="text1"/>
          <w:sz w:val="26"/>
          <w:szCs w:val="26"/>
          <w:lang w:val="vi-VN"/>
        </w:rPr>
        <w:t>Giải pháp 1</w:t>
      </w:r>
      <w:r w:rsidR="00E36397" w:rsidRPr="00ED5E38">
        <w:rPr>
          <w:noProof/>
          <w:color w:val="000000" w:themeColor="text1"/>
          <w:sz w:val="26"/>
          <w:szCs w:val="26"/>
          <w:lang w:val="vi-VN"/>
        </w:rPr>
        <w:t>” dựa trên các lý do sau đây:</w:t>
      </w:r>
    </w:p>
    <w:p w14:paraId="2B00CF74" w14:textId="463647B2" w:rsidR="00E36397" w:rsidRPr="00ED5E38" w:rsidRDefault="00E36397" w:rsidP="00893D79">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Thứ nhất, bảo đảm tính thống nhất, đồng bộ của hệ thống pháp luật, khẳng định vai trò luật chung (B</w:t>
      </w:r>
      <w:r w:rsidR="00F866F8" w:rsidRPr="00F866F8">
        <w:rPr>
          <w:noProof/>
          <w:color w:val="000000" w:themeColor="text1"/>
          <w:sz w:val="26"/>
          <w:szCs w:val="26"/>
          <w:lang w:val="vi-VN"/>
        </w:rPr>
        <w:t>ộ luật Dân s</w:t>
      </w:r>
      <w:r w:rsidR="00F866F8" w:rsidRPr="00893D79">
        <w:rPr>
          <w:noProof/>
          <w:color w:val="000000" w:themeColor="text1"/>
          <w:sz w:val="26"/>
          <w:szCs w:val="26"/>
          <w:lang w:val="vi-VN"/>
        </w:rPr>
        <w:t>ự</w:t>
      </w:r>
      <w:r w:rsidRPr="00ED5E38">
        <w:rPr>
          <w:noProof/>
          <w:color w:val="000000" w:themeColor="text1"/>
          <w:sz w:val="26"/>
          <w:szCs w:val="26"/>
          <w:lang w:val="vi-VN"/>
        </w:rPr>
        <w:t>, Luật Đầu tư).</w:t>
      </w:r>
    </w:p>
    <w:p w14:paraId="59235068" w14:textId="77777777" w:rsidR="00E36397" w:rsidRPr="00ED5E38" w:rsidRDefault="00E36397" w:rsidP="00893D79">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Thứ hai, cắt giảm thực chất chồng chéo, giảm tranh chấp do xung đột luật.</w:t>
      </w:r>
    </w:p>
    <w:p w14:paraId="3AD0999F" w14:textId="77777777" w:rsidR="00E36397" w:rsidRPr="00ED5E38" w:rsidRDefault="00E36397" w:rsidP="00893D79">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Thứ ba, phù hợp chủ trương cải cách điều kiện kinh doanh, phát triển kinh tế tư nhân.</w:t>
      </w:r>
    </w:p>
    <w:p w14:paraId="6FA23B8E" w14:textId="77777777" w:rsidR="00E36397" w:rsidRPr="00ED5E38" w:rsidRDefault="00E36397" w:rsidP="00893D79">
      <w:pPr>
        <w:pStyle w:val="NormalWeb"/>
        <w:spacing w:before="120" w:beforeAutospacing="0" w:after="120" w:afterAutospacing="0" w:line="340" w:lineRule="exact"/>
        <w:ind w:firstLine="720"/>
        <w:jc w:val="both"/>
        <w:rPr>
          <w:noProof/>
          <w:color w:val="000000" w:themeColor="text1"/>
          <w:sz w:val="26"/>
          <w:szCs w:val="26"/>
          <w:lang w:val="vi-VN"/>
        </w:rPr>
      </w:pPr>
      <w:r w:rsidRPr="00ED5E38">
        <w:rPr>
          <w:noProof/>
          <w:color w:val="000000" w:themeColor="text1"/>
          <w:sz w:val="26"/>
          <w:szCs w:val="26"/>
          <w:lang w:val="vi-VN"/>
        </w:rPr>
        <w:t>Thứ tư, tác động tiêu cực không đáng kể và mang tính chuyển tiếp.</w:t>
      </w:r>
    </w:p>
    <w:bookmarkEnd w:id="9"/>
    <w:bookmarkEnd w:id="10"/>
    <w:p w14:paraId="0D8125A5" w14:textId="77777777" w:rsidR="00E67795" w:rsidRPr="00ED5E38" w:rsidRDefault="00ED5C78" w:rsidP="006400D7">
      <w:pPr>
        <w:pStyle w:val="Heading1"/>
      </w:pPr>
      <w:r w:rsidRPr="00ED5E38">
        <w:t xml:space="preserve">2.2. </w:t>
      </w:r>
      <w:r w:rsidR="00E67795" w:rsidRPr="00ED5E38">
        <w:t xml:space="preserve">Nội dung </w:t>
      </w:r>
      <w:r w:rsidR="0042171D" w:rsidRPr="00ED5E38">
        <w:t>2</w:t>
      </w:r>
      <w:r w:rsidR="00E67795" w:rsidRPr="00ED5E38">
        <w:t>: Tháo gỡ khó khăn, vướng mắc các quy định của Luật Quản lý ngoại thương</w:t>
      </w:r>
    </w:p>
    <w:p w14:paraId="2E8DF0B4" w14:textId="77777777" w:rsidR="00E67795" w:rsidRPr="00ED5E38" w:rsidRDefault="00E67795" w:rsidP="006400D7">
      <w:pPr>
        <w:pStyle w:val="Heading1"/>
      </w:pPr>
      <w:r w:rsidRPr="00ED5E38">
        <w:t>2.2.1. Đánh giá tác động</w:t>
      </w:r>
    </w:p>
    <w:p w14:paraId="554F2F48" w14:textId="316A60D0" w:rsidR="00A11A66" w:rsidRPr="0027142B" w:rsidRDefault="00A11A66" w:rsidP="0027142B">
      <w:pPr>
        <w:pStyle w:val="Heading2"/>
        <w:rPr>
          <w:lang w:val="en-US"/>
        </w:rPr>
      </w:pPr>
      <w:r w:rsidRPr="00ED5E38">
        <w:t xml:space="preserve">a) Giải pháp 1: Hoàn thiện quy định về quản lý ngoại thương nhằm tạo thuận lợi thương mại và thực hiện cam kết quốc tế, cụ thể: (i) Bổ sung cơ chế cho doanh nghiệp nhập khẩu lại hàng hóa đã xuất khẩu (bao gồm hàng cấm nhập khẩu) và tái xuất sang thị trường nước khác; (ii) Hoàn thiện cơ chế tự chứng nhận xuất xứ hàng hóa xuất khẩu, nhập khẩu; (iii) </w:t>
      </w:r>
      <w:r w:rsidR="00EB2B9A" w:rsidRPr="00ED5E38">
        <w:t>Hoàn thiện khái niệm</w:t>
      </w:r>
      <w:r w:rsidRPr="00ED5E38">
        <w:t xml:space="preserve"> giấy chứng nhận lưu hành tự do</w:t>
      </w:r>
    </w:p>
    <w:p w14:paraId="3820BC68"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b/>
          <w:bCs/>
          <w:i/>
          <w:iCs/>
          <w:noProof/>
          <w:color w:val="000000" w:themeColor="text1"/>
          <w:sz w:val="26"/>
          <w:szCs w:val="26"/>
          <w:lang w:val="vi-VN"/>
        </w:rPr>
        <w:t>- Tác động đối với hệ thống pháp luật:</w:t>
      </w:r>
    </w:p>
    <w:p w14:paraId="7A173880" w14:textId="5439A806"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bCs/>
          <w:iCs/>
          <w:noProof/>
          <w:color w:val="000000" w:themeColor="text1"/>
          <w:sz w:val="26"/>
          <w:szCs w:val="26"/>
          <w:lang w:val="vi-VN"/>
        </w:rPr>
        <w:t xml:space="preserve">+ Về tính hợp hiến: Chính sách hoàn toàn phù hợp với Điều 33 Hiến pháp 2013 về quyền tự do kinh doanh. Việc bổ sung cơ chế tháo gỡ khó khăn doanh nghiệp trên thực tế; </w:t>
      </w:r>
      <w:r w:rsidRPr="00ED5E38">
        <w:rPr>
          <w:noProof/>
          <w:color w:val="000000" w:themeColor="text1"/>
          <w:sz w:val="26"/>
          <w:szCs w:val="26"/>
          <w:lang w:val="vi-VN"/>
        </w:rPr>
        <w:t xml:space="preserve">Hoàn thiện cơ chế tự chứng nhận xuất xứ hàng hóa xuất khẩu, nhập khẩu và </w:t>
      </w:r>
      <w:r w:rsidR="008A565F" w:rsidRPr="00ED5E38">
        <w:rPr>
          <w:noProof/>
          <w:color w:val="000000" w:themeColor="text1"/>
          <w:sz w:val="26"/>
          <w:szCs w:val="26"/>
          <w:lang w:val="vi-VN"/>
        </w:rPr>
        <w:t>hoàn thiện khái niệm về</w:t>
      </w:r>
      <w:r w:rsidRPr="00ED5E38">
        <w:rPr>
          <w:noProof/>
          <w:color w:val="000000" w:themeColor="text1"/>
          <w:sz w:val="26"/>
          <w:szCs w:val="26"/>
          <w:lang w:val="vi-VN"/>
        </w:rPr>
        <w:t xml:space="preserve"> giấy chứng nhận lưu hành tự do</w:t>
      </w:r>
      <w:r w:rsidRPr="00ED5E38">
        <w:rPr>
          <w:bCs/>
          <w:iCs/>
          <w:noProof/>
          <w:color w:val="000000" w:themeColor="text1"/>
          <w:sz w:val="26"/>
          <w:szCs w:val="26"/>
          <w:lang w:val="vi-VN"/>
        </w:rPr>
        <w:t xml:space="preserve"> hoàn toàn phù hợp với Điều 33 Hiến pháp 2013 “</w:t>
      </w:r>
      <w:r w:rsidRPr="00ED5E38">
        <w:rPr>
          <w:bCs/>
          <w:i/>
          <w:iCs/>
          <w:noProof/>
          <w:color w:val="000000" w:themeColor="text1"/>
          <w:sz w:val="26"/>
          <w:szCs w:val="26"/>
          <w:lang w:val="vi-VN"/>
        </w:rPr>
        <w:t xml:space="preserve">Mọi người có quyền tự do kinh doanh trong những ngành nghề mà </w:t>
      </w:r>
      <w:r w:rsidRPr="00ED5E38">
        <w:rPr>
          <w:bCs/>
          <w:i/>
          <w:iCs/>
          <w:noProof/>
          <w:color w:val="000000" w:themeColor="text1"/>
          <w:sz w:val="26"/>
          <w:szCs w:val="26"/>
          <w:lang w:val="vi-VN"/>
        </w:rPr>
        <w:lastRenderedPageBreak/>
        <w:t xml:space="preserve">pháp luật không cấm” </w:t>
      </w:r>
      <w:r w:rsidRPr="00ED5E38">
        <w:rPr>
          <w:bCs/>
          <w:iCs/>
          <w:noProof/>
          <w:color w:val="000000" w:themeColor="text1"/>
          <w:sz w:val="26"/>
          <w:szCs w:val="26"/>
          <w:lang w:val="vi-VN"/>
        </w:rPr>
        <w:t>và Điều 51 “</w:t>
      </w:r>
      <w:r w:rsidRPr="00ED5E38">
        <w:rPr>
          <w:bCs/>
          <w:i/>
          <w:iCs/>
          <w:noProof/>
          <w:color w:val="000000" w:themeColor="text1"/>
          <w:sz w:val="26"/>
          <w:szCs w:val="26"/>
          <w:lang w:val="vi-VN"/>
        </w:rPr>
        <w:t>Nhà nước khuyến khích, tạo điều kiện để doanh nhân, doanh nghiệp và cá nhân, tổ chức khác đầu tư, sản xuất, kinh doanh; phát triển bền vững các ngành kinh tế, góp phần xây dựng đất nước…”</w:t>
      </w:r>
    </w:p>
    <w:p w14:paraId="6604198B"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Về tính hợp pháp, tính thống nhất của chính sách với hệ thống pháp luật:</w:t>
      </w:r>
    </w:p>
    <w:p w14:paraId="284DF603"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709"/>
          <w:tab w:val="left" w:pos="3765"/>
          <w:tab w:val="left" w:pos="6405"/>
        </w:tabs>
        <w:spacing w:before="120" w:after="120" w:line="340" w:lineRule="exact"/>
        <w:ind w:firstLine="720"/>
        <w:jc w:val="both"/>
        <w:rPr>
          <w:noProof/>
          <w:color w:val="000000" w:themeColor="text1"/>
          <w:sz w:val="26"/>
          <w:szCs w:val="26"/>
          <w:lang w:val="vi-VN"/>
        </w:rPr>
      </w:pPr>
      <w:r w:rsidRPr="00ED5E38">
        <w:rPr>
          <w:noProof/>
          <w:color w:val="000000" w:themeColor="text1"/>
          <w:sz w:val="26"/>
          <w:szCs w:val="26"/>
          <w:lang w:val="vi-VN"/>
        </w:rPr>
        <w:t xml:space="preserve">Thứ nhất, khoản 2 Điều 10 Luật Quản lý ngoại thương quy định </w:t>
      </w:r>
      <w:bookmarkStart w:id="27" w:name="khoan_2_10"/>
      <w:r w:rsidRPr="00ED5E38">
        <w:rPr>
          <w:bCs/>
          <w:i/>
          <w:iCs/>
          <w:noProof/>
          <w:color w:val="000000" w:themeColor="text1"/>
          <w:sz w:val="26"/>
          <w:szCs w:val="26"/>
          <w:lang w:val="vi-VN"/>
        </w:rPr>
        <w:t>Thủ tướng Chính phủ quyết định cho phép xuất khẩu, nhập khẩu hàng hóa quy định tại khoản 1 Điều này nhằm phục vụ mục đích đặc dụng, bảo hành, phân tích, kiểm nghiệm, nghiên cứu khoa học, y tế, sản xuất dược phẩm, bảo vệ quốc phòng, an ninh.</w:t>
      </w:r>
      <w:bookmarkEnd w:id="27"/>
      <w:r w:rsidRPr="00ED5E38">
        <w:rPr>
          <w:bCs/>
          <w:i/>
          <w:iCs/>
          <w:noProof/>
          <w:color w:val="000000" w:themeColor="text1"/>
          <w:sz w:val="26"/>
          <w:szCs w:val="26"/>
          <w:lang w:val="vi-VN"/>
        </w:rPr>
        <w:t xml:space="preserve"> </w:t>
      </w:r>
      <w:r w:rsidRPr="00ED5E38">
        <w:rPr>
          <w:bCs/>
          <w:iCs/>
          <w:noProof/>
          <w:color w:val="000000" w:themeColor="text1"/>
          <w:sz w:val="26"/>
          <w:szCs w:val="26"/>
          <w:lang w:val="vi-VN"/>
        </w:rPr>
        <w:t xml:space="preserve">Thực hiện chủ trương phân quyền, phân cấp của Đảng, Chính phủ đã ban hành Nghị định số 146/2025/NĐ-CP ngày 12/6/2025 của Chính phủ quy định về phân quyền, phân cấp trong lĩnh vực công nghiệp và thương mại. Theo đó, nhiệm vụ, quyền hạn của Thủ tướng Chính phủ quyết định cho phép xuất khẩu, nhập khẩu hàng hóa quy định tại khoản 1 Điều 10 Luật Quản lý ngoại thương năm 2017 nhằm phục vụ mục đích đặc dụng, bảo hành, phân tích, kiểm nghiệm, nghiên cứu khoa học, y tế, sản xuất dược phẩm, bảo vệ quốc phòng, an ninh quy định tại khoản 2 Điều 10 Luật Quản lý ngoại thương năm 2017 do Bộ, cơ quan ngang Bộ có thẩm quyền quản lý thực hiện, trừ vũ khí trang bị kỹ thuật có ý nghĩa chiến lược, phương tiện kỹ thuật nghiệp vụ đặc biệt theo pháp luật về công nghiệp quốc phòng, an ninh và động viên công nghiệp. </w:t>
      </w:r>
    </w:p>
    <w:p w14:paraId="70EDD31F"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bCs/>
          <w:iCs/>
          <w:noProof/>
          <w:color w:val="000000" w:themeColor="text1"/>
          <w:sz w:val="26"/>
          <w:szCs w:val="26"/>
          <w:lang w:val="vi-VN"/>
        </w:rPr>
        <w:t>Căn cứ khoản 1 Điều 32 Luật Tổ chức Chính phủ “</w:t>
      </w:r>
      <w:r w:rsidRPr="00ED5E38">
        <w:rPr>
          <w:bCs/>
          <w:i/>
          <w:iCs/>
          <w:noProof/>
          <w:color w:val="000000" w:themeColor="text1"/>
          <w:sz w:val="26"/>
          <w:szCs w:val="26"/>
          <w:lang w:val="vi-VN"/>
        </w:rPr>
        <w:t>Trường hợp luật, nghị quyết của Quốc hội, pháp lệnh, nghị quyết của Ủy ban Thường vụ Quốc hội quy định về nhiệm vụ, quyền hạn của Chính phủ, Thủ tướng Chính phủ, Bộ trưởng, Thủ trưởng cơ quan ngang Bộ chưa phù hợp với quy định của Luật này thì phải điều chỉnh thống nhất với quy định của Luật này trong thời hạn 02 năm kể từ ngày Luật này có hiệu lực thi hành.”</w:t>
      </w:r>
    </w:p>
    <w:p w14:paraId="6618F173" w14:textId="40419485"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Thứ </w:t>
      </w:r>
      <w:r w:rsidR="002F4954" w:rsidRPr="00ED5E38">
        <w:rPr>
          <w:noProof/>
          <w:color w:val="000000" w:themeColor="text1"/>
          <w:sz w:val="26"/>
          <w:szCs w:val="26"/>
          <w:lang w:val="vi-VN"/>
        </w:rPr>
        <w:t>hai</w:t>
      </w:r>
      <w:r w:rsidRPr="00ED5E38">
        <w:rPr>
          <w:noProof/>
          <w:color w:val="000000" w:themeColor="text1"/>
          <w:sz w:val="26"/>
          <w:szCs w:val="26"/>
          <w:lang w:val="vi-VN"/>
        </w:rPr>
        <w:t xml:space="preserve">, thẩm quyền cấp Giấy chứng nhận xuất xứ hàng hóa và Văn bản chấp thuận cho thương nhân tự chứng nhận xuất xứ hàng hóa xuất khẩu tại Điều 34 Luật Quản lý ngoại thương được phân quyền cho Bộ trưởng Bộ Công Thương và Ủy ban nhân dân cấp tỉnh cùng thực hiện (theo Nghị định số 146/2025/NĐ-CP). Do đó, việc thể chế hóa nội dung này tại Luật là phù hợp thẩm quyền. </w:t>
      </w:r>
    </w:p>
    <w:p w14:paraId="65F3B6D8"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bổ sung quy định giao Bộ Công Thương quy định các tiêu chí cho cơ quan, tổ chức cấp Giấy chứng nhận xuất xứ hàng hóa và Văn bản chấp thuận cho thương nhân tự chứng nhận xuất xứ hàng hóa xuất khẩu; Bổ sung nội dung phân quyền và giao Bộ Tài chính quy định về cơ chế nhà nhập khẩu đủ điều kiện tự chứng nhận xuất xứ hàng hóa nhập khẩu; và Bổ sung cơ chế nhà nhập khẩu đủ điều kiện tự chứng nhận xuất xứ hàng hóa nhập khẩu tại Điều 34 Luật Quản lý ngoại thương là phù hợp với thẩm quyền của Quốc hội theo quy định của Luật Ban hành văn bản quy phạm pháp luật; phù hợp với chức năng, nhiệm vụ của Bộ Công Thương và Bộ Tài chính.</w:t>
      </w:r>
    </w:p>
    <w:p w14:paraId="51BA7627" w14:textId="0753B87F"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Thứ </w:t>
      </w:r>
      <w:r w:rsidR="00893D79" w:rsidRPr="00893D79">
        <w:rPr>
          <w:noProof/>
          <w:color w:val="000000" w:themeColor="text1"/>
          <w:sz w:val="26"/>
          <w:szCs w:val="26"/>
          <w:lang w:val="vi-VN"/>
        </w:rPr>
        <w:t>ba</w:t>
      </w:r>
      <w:r w:rsidRPr="00ED5E38">
        <w:rPr>
          <w:noProof/>
          <w:color w:val="000000" w:themeColor="text1"/>
          <w:sz w:val="26"/>
          <w:szCs w:val="26"/>
          <w:lang w:val="vi-VN"/>
        </w:rPr>
        <w:t>, theo khoản 1 Điều 36 Luật Quản lý ngoại thương thì “</w:t>
      </w:r>
      <w:r w:rsidRPr="00ED5E38">
        <w:rPr>
          <w:bCs/>
          <w:i/>
          <w:iCs/>
          <w:noProof/>
          <w:color w:val="000000" w:themeColor="text1"/>
          <w:sz w:val="26"/>
          <w:szCs w:val="26"/>
          <w:lang w:val="vi-VN"/>
        </w:rPr>
        <w:t>Giấy chứng nhận lưu hành tự do là văn bản chứng nhận do cơ quan nhà nước có thẩm quyền của nước xuất khẩu cấp cho thương nhân xuất khẩu hàng hóa để chứng nhận hàng hóa đó được phép lưu hành tự do tại nước xuất khẩu.”</w:t>
      </w:r>
      <w:r w:rsidRPr="00ED5E38">
        <w:rPr>
          <w:noProof/>
          <w:color w:val="000000" w:themeColor="text1"/>
          <w:sz w:val="26"/>
          <w:szCs w:val="26"/>
          <w:lang w:val="vi-VN"/>
        </w:rPr>
        <w:t xml:space="preserve"> Việc sửa đổi nội dung tại khoản 1 Điều 36 </w:t>
      </w:r>
      <w:r w:rsidRPr="00ED5E38">
        <w:rPr>
          <w:noProof/>
          <w:color w:val="000000" w:themeColor="text1"/>
          <w:sz w:val="26"/>
          <w:szCs w:val="26"/>
          <w:lang w:val="vi-VN"/>
        </w:rPr>
        <w:lastRenderedPageBreak/>
        <w:t>Luật phù hợp với thẩm quyền sửa đổi bổ sung văn bản quy phạm pháp luật của Quốc hội theo quy định của Luật Ban hành văn bản quy phạm pháp luật</w:t>
      </w:r>
    </w:p>
    <w:p w14:paraId="7DDB6A7A" w14:textId="48780AF6"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Theo các phân tích nêu trên, việc hoàn thiện quy định về quản lý ngoại thương nhằm tạo thuận lợi thương mại và thực hiện cam kết quốc tế theo hướng (i) Bổ sung cơ chế cho doanh nghiệp nhập khẩu lại hàng hóa đã xuất khẩu (bao gồm hàng cấm nhập khẩu) và </w:t>
      </w:r>
      <w:r w:rsidR="008A565F" w:rsidRPr="00ED5E38">
        <w:rPr>
          <w:noProof/>
          <w:color w:val="000000" w:themeColor="text1"/>
          <w:sz w:val="26"/>
          <w:szCs w:val="26"/>
          <w:lang w:val="vi-VN"/>
        </w:rPr>
        <w:t>xuất khẩu</w:t>
      </w:r>
      <w:r w:rsidRPr="00ED5E38">
        <w:rPr>
          <w:noProof/>
          <w:color w:val="000000" w:themeColor="text1"/>
          <w:sz w:val="26"/>
          <w:szCs w:val="26"/>
          <w:lang w:val="vi-VN"/>
        </w:rPr>
        <w:t xml:space="preserve"> sang thị trường nước khác; (ii) Hoàn thiện cơ chế tự chứng nhận xuất xứ hàng hóa xuất khẩu, nhập khẩu; (iii) </w:t>
      </w:r>
      <w:r w:rsidR="00EB2B9A" w:rsidRPr="00ED5E38">
        <w:rPr>
          <w:noProof/>
          <w:color w:val="000000" w:themeColor="text1"/>
          <w:sz w:val="26"/>
          <w:szCs w:val="26"/>
          <w:lang w:val="vi-VN"/>
        </w:rPr>
        <w:t>H</w:t>
      </w:r>
      <w:r w:rsidR="009C7304" w:rsidRPr="00ED5E38">
        <w:rPr>
          <w:noProof/>
          <w:color w:val="000000" w:themeColor="text1"/>
          <w:sz w:val="26"/>
          <w:szCs w:val="26"/>
          <w:lang w:val="vi-VN"/>
        </w:rPr>
        <w:t xml:space="preserve">oàn thiện khái niệm về Giấy chứng nhận lưu hành tự do </w:t>
      </w:r>
      <w:r w:rsidRPr="00ED5E38">
        <w:rPr>
          <w:noProof/>
          <w:color w:val="000000" w:themeColor="text1"/>
          <w:sz w:val="26"/>
          <w:szCs w:val="26"/>
          <w:lang w:val="vi-VN"/>
        </w:rPr>
        <w:t xml:space="preserve">đảm bảo tính hợp pháp, tính thống nhất của chính sách với hệ thống pháp luật. </w:t>
      </w:r>
    </w:p>
    <w:p w14:paraId="7ABD49DE"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b/>
          <w:bCs/>
          <w:noProof/>
          <w:color w:val="000000" w:themeColor="text1"/>
          <w:sz w:val="26"/>
          <w:szCs w:val="26"/>
          <w:lang w:val="vi-VN"/>
        </w:rPr>
        <w:t xml:space="preserve">- </w:t>
      </w:r>
      <w:r w:rsidRPr="00ED5E38">
        <w:rPr>
          <w:b/>
          <w:bCs/>
          <w:i/>
          <w:noProof/>
          <w:color w:val="000000" w:themeColor="text1"/>
          <w:sz w:val="26"/>
          <w:szCs w:val="26"/>
          <w:lang w:val="vi-VN"/>
        </w:rPr>
        <w:t>Tác động đối với các điều ước quốc tế có liên quan mà nước Cộng hòa xã hội chủ nghĩa Việt</w:t>
      </w:r>
      <w:r w:rsidRPr="00ED5E38">
        <w:rPr>
          <w:i/>
          <w:noProof/>
          <w:color w:val="000000" w:themeColor="text1"/>
          <w:sz w:val="26"/>
          <w:szCs w:val="26"/>
          <w:lang w:val="vi-VN"/>
        </w:rPr>
        <w:t> </w:t>
      </w:r>
      <w:r w:rsidRPr="00ED5E38">
        <w:rPr>
          <w:b/>
          <w:bCs/>
          <w:i/>
          <w:noProof/>
          <w:color w:val="000000" w:themeColor="text1"/>
          <w:sz w:val="26"/>
          <w:szCs w:val="26"/>
          <w:lang w:val="vi-VN"/>
        </w:rPr>
        <w:t xml:space="preserve">Nam là thành viên: </w:t>
      </w:r>
    </w:p>
    <w:p w14:paraId="2609DC8D" w14:textId="404960B3" w:rsidR="00AE79B5"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Bổ sung cơ chế cho doanh nghiệp nhập khẩu lại hàng hóa đã xuất khẩu (bao gồm hàng cấm nhập khẩu) và </w:t>
      </w:r>
      <w:r w:rsidR="008A565F" w:rsidRPr="00ED5E38">
        <w:rPr>
          <w:noProof/>
          <w:color w:val="000000" w:themeColor="text1"/>
          <w:sz w:val="26"/>
          <w:szCs w:val="26"/>
          <w:lang w:val="vi-VN"/>
        </w:rPr>
        <w:t>xuất khẩu</w:t>
      </w:r>
      <w:r w:rsidRPr="00ED5E38">
        <w:rPr>
          <w:noProof/>
          <w:color w:val="000000" w:themeColor="text1"/>
          <w:sz w:val="26"/>
          <w:szCs w:val="26"/>
          <w:lang w:val="vi-VN"/>
        </w:rPr>
        <w:t xml:space="preserve"> sang thị trường nước khác: Các cam kết quốc tế không có cam kết cụ thể về nội dung này.</w:t>
      </w:r>
    </w:p>
    <w:p w14:paraId="2C99D9C3" w14:textId="0D342F5E"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Hoàn thiện cơ chế tự chứng nhận xuất xứ hàng hóa xuất khẩu, nhập khẩu:</w:t>
      </w:r>
    </w:p>
    <w:p w14:paraId="2543C729"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rFonts w:eastAsia="Arial"/>
          <w:noProof/>
          <w:color w:val="000000" w:themeColor="text1"/>
          <w:sz w:val="26"/>
          <w:szCs w:val="26"/>
          <w:lang w:val="vi-VN"/>
        </w:rPr>
      </w:pPr>
      <w:r w:rsidRPr="00ED5E38">
        <w:rPr>
          <w:noProof/>
          <w:color w:val="000000" w:themeColor="text1"/>
          <w:sz w:val="26"/>
          <w:szCs w:val="26"/>
          <w:lang w:val="vi-VN"/>
        </w:rPr>
        <w:t>Việc thực hiện các cam kết quốc tế, đặc biệt là Hiệp định CPTPP, đòi hỏi Việt Nam phải từng bước hoàn thiện cơ chế tự chứng nhận xuất xứ đối với hàng hóa nhập khẩu. Hiện</w:t>
      </w:r>
      <w:r w:rsidRPr="00ED5E38">
        <w:rPr>
          <w:bCs/>
          <w:noProof/>
          <w:color w:val="000000" w:themeColor="text1"/>
          <w:sz w:val="26"/>
          <w:szCs w:val="26"/>
          <w:lang w:val="vi-VN"/>
        </w:rPr>
        <w:t xml:space="preserve"> nay, cơ chế nhà nhập khẩu đủ điều kiện tự chứng nhận xuất xứ được quy định tại Hiệp định CPTPP, được ký kết năm 2018 và có hiệu lực năm 2019, sau thời điểm Quốc hội ban hành Luật Quản lý ngoại thương. Về thẩm quyền áp dụng biện pháp chứng nhận xuất xứ hàng hóa, hiện Điều 34 Luật Quản lý ngoại thương chỉ quy định cơ quan có thẩm quyền cấp chứng nhận xuất xứ hàng hóa hoặc chấp thuận cho thương nhân tự chứng nhận xuất xứ đối với hàng hóa xuất khẩu, chưa quy định thẩm quyền áp dụng với hàng hóa nhập khẩu. Do đó, cơ chế này chưa được quy định tại Luật Quản lý ngoại thương. Việc quy định cơ chế nhà nhập khẩu đủ điều kiện tự chứng nhận xuất xứ được thực hiện theo điều ước quốc tế mà Việt Nam là thành viên (Hiệp định CPTPP). Đây là một xu thế tất yếu trong chuỗi thương mại toàn cầu và hội nhập nên cần thiết phải xây dựng cơ chế để điều chỉnh tại Luật Quản lý ngoại thương để phù hợp với thực tế.</w:t>
      </w:r>
    </w:p>
    <w:p w14:paraId="27523F6C" w14:textId="77777777" w:rsidR="003E3830"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rFonts w:eastAsia="Arial"/>
          <w:noProof/>
          <w:color w:val="000000" w:themeColor="text1"/>
          <w:sz w:val="26"/>
          <w:szCs w:val="26"/>
          <w:lang w:val="vi-VN"/>
        </w:rPr>
      </w:pPr>
      <w:r w:rsidRPr="00ED5E38">
        <w:rPr>
          <w:rFonts w:eastAsia="Arial"/>
          <w:noProof/>
          <w:color w:val="000000" w:themeColor="text1"/>
          <w:sz w:val="26"/>
          <w:szCs w:val="26"/>
          <w:lang w:val="vi-VN"/>
        </w:rPr>
        <w:t xml:space="preserve">Điểm b khoản 1 Điều 32 Luật Quản lý ngoại thương có dẫn chiếu đến khoản 2 Điều 34 (Thẩm quyền áp dụng biện pháp chứng nhận xuất xứ hàng hóa). Điều 34 Luật đang được đề xuất sửa đổi bổ sung phân quyền cho UBND cấp tỉnh thực hiện và bổ sung điều khoản phân quyền và giao Bộ Tài chính quy định về cơ chế nhà nhập khẩu đủ điều kiện tự chứng nhận xuất xứ hàng hóa nhập khẩu. Do đó, để đảm bảo thống nhất, đề xuất sửa đổi bổ sung điểm b khoản 1 Điều 32 Luật này. </w:t>
      </w:r>
    </w:p>
    <w:p w14:paraId="07A365F2" w14:textId="31CBB5EA"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rFonts w:eastAsia="Arial"/>
          <w:noProof/>
          <w:color w:val="000000" w:themeColor="text1"/>
          <w:sz w:val="26"/>
          <w:szCs w:val="26"/>
          <w:lang w:val="vi-VN"/>
        </w:rPr>
      </w:pPr>
      <w:r w:rsidRPr="00ED5E38">
        <w:rPr>
          <w:noProof/>
          <w:color w:val="000000" w:themeColor="text1"/>
          <w:sz w:val="26"/>
          <w:szCs w:val="26"/>
          <w:lang w:val="vi-VN"/>
        </w:rPr>
        <w:t xml:space="preserve">+ </w:t>
      </w:r>
      <w:r w:rsidR="008A565F" w:rsidRPr="00ED5E38">
        <w:rPr>
          <w:noProof/>
          <w:color w:val="000000" w:themeColor="text1"/>
          <w:sz w:val="26"/>
          <w:szCs w:val="26"/>
          <w:lang w:val="vi-VN"/>
        </w:rPr>
        <w:t>Hoàn thiện khái niệm</w:t>
      </w:r>
      <w:r w:rsidRPr="00ED5E38">
        <w:rPr>
          <w:noProof/>
          <w:color w:val="000000" w:themeColor="text1"/>
          <w:sz w:val="26"/>
          <w:szCs w:val="26"/>
          <w:lang w:val="vi-VN"/>
        </w:rPr>
        <w:t xml:space="preserve"> giấy chứng nhận lưu hành tự do: Các cam kết quốc tế không có cam kết cụ thể về nội dung này.</w:t>
      </w:r>
    </w:p>
    <w:p w14:paraId="228ABA00"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rFonts w:eastAsia="Arial"/>
          <w:noProof/>
          <w:color w:val="000000" w:themeColor="text1"/>
          <w:sz w:val="26"/>
          <w:szCs w:val="26"/>
          <w:lang w:val="vi-VN"/>
        </w:rPr>
        <w:t>Căn cứ phân tích nêu trên, các nội dung đề xuất đảm bảo tương thích với các điều ước quốc tế có liên quan mà nước Cộng hòa xã hội chủ nghĩa Việt Nam là thành viên.</w:t>
      </w:r>
    </w:p>
    <w:p w14:paraId="3F0E579C" w14:textId="31D98B72"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i/>
          <w:iCs/>
          <w:noProof/>
          <w:color w:val="000000" w:themeColor="text1"/>
          <w:sz w:val="26"/>
          <w:szCs w:val="26"/>
          <w:lang w:val="vi-VN"/>
        </w:rPr>
      </w:pPr>
      <w:r w:rsidRPr="00ED5E38">
        <w:rPr>
          <w:b/>
          <w:bCs/>
          <w:i/>
          <w:iCs/>
          <w:noProof/>
          <w:color w:val="000000" w:themeColor="text1"/>
          <w:sz w:val="26"/>
          <w:szCs w:val="26"/>
          <w:lang w:val="vi-VN"/>
        </w:rPr>
        <w:t xml:space="preserve">- Tác động về kinh tế - xã hội: </w:t>
      </w:r>
    </w:p>
    <w:p w14:paraId="2443CBB3" w14:textId="6F0E96DD"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b/>
          <w:bCs/>
          <w:i/>
          <w:iCs/>
          <w:noProof/>
          <w:color w:val="000000" w:themeColor="text1"/>
          <w:sz w:val="26"/>
          <w:szCs w:val="26"/>
          <w:lang w:val="vi-VN"/>
        </w:rPr>
        <w:lastRenderedPageBreak/>
        <w:t>+</w:t>
      </w:r>
      <w:r w:rsidRPr="00ED5E38">
        <w:rPr>
          <w:noProof/>
          <w:color w:val="000000" w:themeColor="text1"/>
          <w:sz w:val="26"/>
          <w:szCs w:val="26"/>
          <w:lang w:val="vi-VN"/>
        </w:rPr>
        <w:t xml:space="preserve"> Bổ sung cơ chế cho doanh nghiệp nhập khẩu lại hàng hóa đã xuất khẩu (bao gồm hàng cấm nhập khẩu) và </w:t>
      </w:r>
      <w:r w:rsidR="008A565F" w:rsidRPr="00ED5E38">
        <w:rPr>
          <w:noProof/>
          <w:color w:val="000000" w:themeColor="text1"/>
          <w:sz w:val="26"/>
          <w:szCs w:val="26"/>
          <w:lang w:val="vi-VN"/>
        </w:rPr>
        <w:t>xuất khẩu</w:t>
      </w:r>
      <w:r w:rsidRPr="00ED5E38">
        <w:rPr>
          <w:noProof/>
          <w:color w:val="000000" w:themeColor="text1"/>
          <w:sz w:val="26"/>
          <w:szCs w:val="26"/>
          <w:lang w:val="vi-VN"/>
        </w:rPr>
        <w:t xml:space="preserve"> sang thị trường nước khác: Nếu tiếp tục áp dụng đầy đủ các biện pháp quản lý ngoại thương theo quy định hiện hành tại Luật Quản lý ngoại thương, các doanh nghiệp sẽ gặp vướng mắc khi thực hiện, hoặc làm gia tăng chi phí, kéo dài thời gian thông quan và tạo thêm gánh nặng hành chính không cần thiết cho doanh nghiệp, giảm tính linh hoạt của hoạt động thương mại quốc tế. </w:t>
      </w:r>
      <w:r w:rsidR="008A565F" w:rsidRPr="00ED5E38">
        <w:rPr>
          <w:bCs/>
          <w:iCs/>
          <w:noProof/>
          <w:color w:val="000000" w:themeColor="text1"/>
          <w:sz w:val="26"/>
          <w:szCs w:val="26"/>
          <w:lang w:val="vi-VN"/>
        </w:rPr>
        <w:t xml:space="preserve">Cụ thể, hàng hóa là phương tiện tay lái bên phải do doanh nghiệp sản xuất, xuất khẩu theo hợp đồng ký với đối tác nước ngoài, không nhập khẩu trở lại Việt Nam do đây là hàng cấm nhập khẩu; hoặc trong trường hợp doanh nghiệp phải tái nhập khẩu hàng hóa do doanh nghiệp đã xuất khẩu nhưng bị trả lại hoặc không bán được tại thị trường nước ngoài. </w:t>
      </w:r>
      <w:r w:rsidRPr="00ED5E38">
        <w:rPr>
          <w:noProof/>
          <w:color w:val="000000" w:themeColor="text1"/>
          <w:sz w:val="26"/>
          <w:szCs w:val="26"/>
          <w:lang w:val="vi-VN"/>
        </w:rPr>
        <w:t>Do đó, đề xuất chính sách này làm giảm chi phí cho doanh nghiệp và tạo sự linh hoạt cho hoạt động của doanh nghiệp.</w:t>
      </w:r>
    </w:p>
    <w:p w14:paraId="57EA4534" w14:textId="01C76DCF"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Hoàn thiện cơ chế tự chứng nhận xuất xứ hàng hóa xuất khẩu, nhập khẩu theo hướng: Bổ sung quy định giao Bộ Công Thương quy định các tiêu chí cho cơ quan, tổ chức cấp Giấy chứng nhận xuất xứ hàng hóa và Văn bản chấp thuận cho thương nhân tự chứng nhận xuất xứ hàng hóa xuất khẩu; Bổ sung nội dung phân quyền và giao Bộ Tài chính quy định về cơ chế nhà nhập khẩu đủ điều kiện tự chứng nhận xuất xứ hàng hóa nhập khẩu; Bổ sung cơ chế nhà nhập khẩu đủ điều kiện tự chứng nhận xuất xứ hàng hóa nhập khẩu. </w:t>
      </w:r>
    </w:p>
    <w:p w14:paraId="516DB80D"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Để tránh gián đoạn trong công tác cấp C/O và văn bản chấp thuận, tạo điều kiện thuận lợi cho thương nhân, Bộ Công Thương và Ủy ban nhân dân cấp tỉnh khi thực hiện nhiệm vụ cần đáp ứng tiêu chí chung như nhau, bảo đảm sự thống nhất, minh bạch về hệ thống cơ quan có thẩm quyền chứng nhận xuất xứ hàng hóa trên cả nước và uy tín tổ chức cấp C/O của Việt Nam đối với các nước đối tác FTA. Bên cạnh đó, việc phân quyền cho Bộ Tài chính giúp cơ quan hải quan kiểm soát trực tiếp tính tuân thủ của nhà nhập khẩu tại cửa khẩu. Nhà nhập khẩu có lịch sử tuân thủ tốt (doanh nghiệp ưu tiên) các quy định sẽ được hưởng lợi lớn, rút ngắn thời gian thông quan hàng hóa, giúp chuỗi cung ứng hoạt động liên tục. Tuy nhiên, doanh nghiệp sẽ phải chịu trách nhiệm pháp lý cao hơn về tính chính xác của thông tin.</w:t>
      </w:r>
    </w:p>
    <w:p w14:paraId="7629AA03" w14:textId="77777777" w:rsidR="0027142B"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i/>
          <w:iCs/>
          <w:noProof/>
          <w:color w:val="000000" w:themeColor="text1"/>
          <w:sz w:val="26"/>
          <w:szCs w:val="26"/>
        </w:rPr>
      </w:pPr>
      <w:r w:rsidRPr="00ED5E38">
        <w:rPr>
          <w:noProof/>
          <w:color w:val="000000" w:themeColor="text1"/>
          <w:sz w:val="26"/>
          <w:szCs w:val="26"/>
          <w:lang w:val="vi-VN"/>
        </w:rPr>
        <w:t xml:space="preserve">+ </w:t>
      </w:r>
      <w:r w:rsidR="003423DA" w:rsidRPr="00ED5E38">
        <w:rPr>
          <w:noProof/>
          <w:color w:val="000000" w:themeColor="text1"/>
          <w:sz w:val="26"/>
          <w:szCs w:val="26"/>
          <w:lang w:val="vi-VN"/>
        </w:rPr>
        <w:t>Hoàn thiện khái niệm</w:t>
      </w:r>
      <w:r w:rsidRPr="00ED5E38">
        <w:rPr>
          <w:noProof/>
          <w:color w:val="000000" w:themeColor="text1"/>
          <w:sz w:val="26"/>
          <w:szCs w:val="26"/>
          <w:lang w:val="vi-VN"/>
        </w:rPr>
        <w:t xml:space="preserve"> giấy chứng nhận lưu hành tự do: Theo khoản 1 Điều 36 Luật Quản lý ngoại thương thì cơ quan cấp giấy chứng nhận lưu hành tự do phải là cơ quan nhà nước có thẩm quyền của nước xuất khẩu thực hiện. </w:t>
      </w:r>
      <w:r w:rsidR="003423DA" w:rsidRPr="00ED5E38">
        <w:rPr>
          <w:noProof/>
          <w:color w:val="000000" w:themeColor="text1"/>
          <w:sz w:val="26"/>
          <w:szCs w:val="26"/>
          <w:lang w:val="vi-VN"/>
        </w:rPr>
        <w:t>Quy định này chưa phù hợp với thực tiễn cấp phép theo quy định của một số quốc gia xuất khẩu, theo đó CFS thường do các tổ chức, Hiệp hội ngành hàng, Phòng Thương mại và Công nghiệp cấp. Do vậy, dẫn đến vướng mắc khi doanh nghiệp làm thủ tục nhập khẩu khi CFS hợp pháp do nước xuất khẩu cấp lại không được công nhận bởi pháp luật Việt Nam. Các Bộ quản lý chuyên ngành cũng có kiến nghị tháo gỡ vướng mắc này bởi mục tiêu của quản lý là hàng hóa khi nhập khẩu phải có CFS hợp pháp, không nhất thiết yêu cầu phải là cơ quan nhà nước cấp. Do đó, việc hoàn thiện khái niệm về giấy chứng nhận lưu hành tự do nhằm tạo thuận lợi thương mại và phù hợp với thực tiễn thế giới, tháo gỡ khó khăn, vướng mắc cho doanh nghiệp.</w:t>
      </w:r>
      <w:r w:rsidR="003423DA" w:rsidRPr="00ED5E38">
        <w:rPr>
          <w:b/>
          <w:bCs/>
          <w:i/>
          <w:iCs/>
          <w:noProof/>
          <w:color w:val="000000" w:themeColor="text1"/>
          <w:sz w:val="26"/>
          <w:szCs w:val="26"/>
          <w:lang w:val="vi-VN"/>
        </w:rPr>
        <w:tab/>
      </w:r>
    </w:p>
    <w:p w14:paraId="3C6CE9D9" w14:textId="5910D78A"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rStyle w:val="Emphasis"/>
          <w:b/>
          <w:noProof/>
          <w:color w:val="000000" w:themeColor="text1"/>
          <w:sz w:val="26"/>
          <w:szCs w:val="26"/>
          <w:lang w:val="vi-VN"/>
        </w:rPr>
        <w:lastRenderedPageBreak/>
        <w:t xml:space="preserve">- Tác động về giới: </w:t>
      </w:r>
      <w:r w:rsidRPr="00ED5E38">
        <w:rPr>
          <w:noProof/>
          <w:color w:val="000000" w:themeColor="text1"/>
          <w:sz w:val="26"/>
          <w:szCs w:val="26"/>
          <w:lang w:val="vi-VN"/>
        </w:rPr>
        <w:t>Giải pháp này không làm phát sinh tác động khác biệt về giới do nội dung điều chỉnh không liên quan trực tiếp đến các yếu tố giới tính, vai trò giới hoặc quyền, nghĩa vụ đặc thù của các nhóm giới khác nhau.</w:t>
      </w:r>
    </w:p>
    <w:p w14:paraId="16AA968B" w14:textId="0868ED86"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rStyle w:val="Emphasis"/>
          <w:b/>
          <w:noProof/>
          <w:color w:val="000000" w:themeColor="text1"/>
          <w:sz w:val="26"/>
          <w:szCs w:val="26"/>
          <w:lang w:val="vi-VN"/>
        </w:rPr>
        <w:t xml:space="preserve">- Tác động của thủ tục hành chính: </w:t>
      </w:r>
    </w:p>
    <w:p w14:paraId="295DFDCE" w14:textId="153FEBA0" w:rsidR="00A11A66" w:rsidRPr="00ED5E38" w:rsidRDefault="003423DA"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Quy định trường hợp ngoại lệ cho phép doanh nghiệp nhập khẩu lại hàng hóa (bao gồm cả hàng cấm nhập khẩu) do chính doanh nghiệp sản xuất đã xuất khẩu về để sửa chữahoàn thiện hoặc mục đích khác sau đó xuất khẩu sang thị trường nước khác: Có khả năng phát sinh thủ tục hành chính khi doanh nghiệp thực hiện nhập khẩu trong trường hợp này. </w:t>
      </w:r>
      <w:r w:rsidR="00A11A66" w:rsidRPr="00ED5E38">
        <w:rPr>
          <w:noProof/>
          <w:color w:val="000000" w:themeColor="text1"/>
          <w:sz w:val="26"/>
          <w:szCs w:val="26"/>
          <w:lang w:val="vi-VN"/>
        </w:rPr>
        <w:t>Tuy nhiên, trình tự thủ tục nếu có sẽ thực hiện theo trình tự, thủ tục cho phép xuất khẩu, nhập khẩu hàng hóa cấm xuất khẩu, cấm nhập khẩu (Đã được quy định tại Phụ lục X ban hành kèm theo Nghị định số 146/2025/NĐ-CP). Do đó, không phát sinh thêm thủ tục hành chính mới.</w:t>
      </w:r>
    </w:p>
    <w:p w14:paraId="15DEA13A" w14:textId="69A89F91"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Hoàn thiện cơ chế tự chứng nhận xuất xứ hàng hóa xuất khẩu, nhập khẩu theo hướng: Bổ sung quy định giao Bộ Công Thương quy định các tiêu chí cho cơ quan, tổ chức cấp Giấy chứng nhận xuất xứ hàng hóa và Văn bản chấp thuận cho thương nhân tự chứng nhận xuất xứ hàng hóa xuất khẩu; Bổ sung nội dung phân quyền và giao Bộ Tài chính quy định về cơ chế nhà nhập khẩu đủ điều kiện tự chứng nhận xuất xứ hàng hóa nhập khẩu; Bổ sung cơ chế nhà nhập khẩu đủ điều kiện tự chứng nhận xuất xứ hàng hóa nhập khẩu: Chính sách này tạo sự linh hoạt trong việc sửa đổi, bổ sung các tiêu chí, trình tự, thủ tục thực hiện thủ tục hành chính tại các Thông tư (trong trường hợp cần thiết hoặc để đảm bảo phù hợp với cam kết quốc tế) được rút ngắn hơn so với quy trình thủ tục sửa đổi Luật. Do đó, tạo thuận lợi cho doanh nghiệp thực hiện. </w:t>
      </w:r>
    </w:p>
    <w:p w14:paraId="2D22F671" w14:textId="392B238F" w:rsidR="0027142B" w:rsidRPr="0027142B" w:rsidRDefault="0027142B" w:rsidP="0027142B">
      <w:pPr>
        <w:widowControl w:val="0"/>
        <w:pBdr>
          <w:top w:val="dotted" w:sz="4" w:space="0" w:color="FFFFFF"/>
          <w:left w:val="dotted" w:sz="4" w:space="0" w:color="FFFFFF"/>
          <w:bottom w:val="dotted" w:sz="4" w:space="0" w:color="FFFFFF"/>
          <w:right w:val="dotted" w:sz="4" w:space="29" w:color="FFFFFF"/>
        </w:pBdr>
        <w:shd w:val="clear" w:color="auto" w:fill="FFFFFF"/>
        <w:spacing w:before="120" w:after="120" w:line="340" w:lineRule="exact"/>
        <w:jc w:val="both"/>
        <w:rPr>
          <w:noProof/>
          <w:color w:val="000000" w:themeColor="text1"/>
          <w:sz w:val="26"/>
          <w:szCs w:val="26"/>
          <w:lang w:val="vi-VN"/>
        </w:rPr>
      </w:pPr>
      <w:r>
        <w:rPr>
          <w:noProof/>
          <w:color w:val="000000" w:themeColor="text1"/>
          <w:sz w:val="26"/>
          <w:szCs w:val="26"/>
        </w:rPr>
        <w:tab/>
      </w:r>
      <w:r w:rsidR="00A11A66" w:rsidRPr="00ED5E38">
        <w:rPr>
          <w:noProof/>
          <w:color w:val="000000" w:themeColor="text1"/>
          <w:sz w:val="26"/>
          <w:szCs w:val="26"/>
          <w:lang w:val="vi-VN"/>
        </w:rPr>
        <w:t xml:space="preserve">+ </w:t>
      </w:r>
      <w:r w:rsidR="003423DA" w:rsidRPr="00ED5E38">
        <w:rPr>
          <w:noProof/>
          <w:color w:val="000000" w:themeColor="text1"/>
          <w:sz w:val="26"/>
          <w:szCs w:val="26"/>
          <w:lang w:val="vi-VN"/>
        </w:rPr>
        <w:t>Hoàn thiện khái niệm</w:t>
      </w:r>
      <w:r w:rsidR="00A11A66" w:rsidRPr="00ED5E38">
        <w:rPr>
          <w:noProof/>
          <w:color w:val="000000" w:themeColor="text1"/>
          <w:sz w:val="26"/>
          <w:szCs w:val="26"/>
          <w:lang w:val="vi-VN"/>
        </w:rPr>
        <w:t xml:space="preserve"> giấy chứng nhận lưu hành tự do: Không có tác động.</w:t>
      </w:r>
    </w:p>
    <w:p w14:paraId="07AE49EB" w14:textId="110799A0" w:rsidR="00893D79" w:rsidRPr="0027142B" w:rsidRDefault="0027142B" w:rsidP="0027142B">
      <w:pPr>
        <w:pStyle w:val="Heading2"/>
        <w:rPr>
          <w:lang w:val="en-US"/>
        </w:rPr>
      </w:pPr>
      <w:r w:rsidRPr="0027142B">
        <w:t>b) Giải pháp 2: Bổ sung nội dung tại Luật giao Chính phủ quy định chi tiết các nội dung (i) Cơ chế cho doanh nghiệp nhập khẩu lại hàng hóa đã xuất khẩu (bao gồm hàng cấm nhập khẩu) và xuất khẩu sang thị trường nước khác; (ii) Hoàn thiện cơ chế tự chứng nhận xuất xứ hàng hóa xuất khẩu, nhập khẩu; (iii) Hoàn thiện khái niệm giấy chứng nhận lưu hành tự do</w:t>
      </w:r>
    </w:p>
    <w:p w14:paraId="5DA21811"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rStyle w:val="Emphasis"/>
          <w:b/>
          <w:noProof/>
          <w:color w:val="000000" w:themeColor="text1"/>
          <w:sz w:val="26"/>
          <w:szCs w:val="26"/>
          <w:lang w:val="vi-VN"/>
        </w:rPr>
        <w:t>- Tác động đối với hệ thống pháp luật</w:t>
      </w:r>
    </w:p>
    <w:p w14:paraId="0F1A4ABB"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noProof/>
          <w:color w:val="000000" w:themeColor="text1"/>
          <w:sz w:val="26"/>
          <w:szCs w:val="26"/>
          <w:lang w:val="vi-VN"/>
        </w:rPr>
        <w:t xml:space="preserve">Việc chỉ quy định nguyên tắc khung trong luật và giao Chính phủ quy định chi tiết các nội dung đưa ra tại giải pháp này sẽ không đảm bảo tính nhất quán và không phù hợp với Hiến pháp năm 2013. Biện pháp cấm xuất khẩu, cấm nhập khẩu thường được áp dụng khi liên quan đến quốc phòng, an ninh, theo điều ước quốc tế mà Việt Nam là thành viên, ảnh hưởng đến sức khỏe, an toàn của người tiêu dùng, trật tự, an toàn xã hội, đạo đức xã hội, thuần phong mỹ tục. Do đó, việc giao Chính phủ quy định cơ chế cho doanh nghiệp nhập khẩu lại hàng hóa đã xuất khẩu (bao gồm hàng cấm nhập khẩu) và tái xuất sang thị trường nước khác là chưa phù hợp. </w:t>
      </w:r>
    </w:p>
    <w:p w14:paraId="7BDA0AC1"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noProof/>
          <w:color w:val="000000" w:themeColor="text1"/>
          <w:sz w:val="26"/>
          <w:szCs w:val="26"/>
          <w:lang w:val="vi-VN"/>
        </w:rPr>
        <w:t xml:space="preserve">Tương tự, nội dung về cơ chế tự chứng nhận xuất xứ hàng hóa của nhà nhập khẩu nếu không được quy định tại Luật sẽ dẫn đến sự không thống nhất so với quy định hiện </w:t>
      </w:r>
      <w:r w:rsidRPr="00ED5E38">
        <w:rPr>
          <w:noProof/>
          <w:color w:val="000000" w:themeColor="text1"/>
          <w:sz w:val="26"/>
          <w:szCs w:val="26"/>
          <w:lang w:val="vi-VN"/>
        </w:rPr>
        <w:lastRenderedPageBreak/>
        <w:t xml:space="preserve">hành. Các biện pháp quản lý ngoại thương (bao gồm biện pháp chứng nhận xuất xứ hàng hóa để thực hiện cam kết trong các điều ước quốc tế mà Việt Nam là thành viên; chứng nhận lưu hành tự do) được quy định trong Luật và phù hợp với thẩm quyền ban hành văn bản quy phạm pháp luật của Quốc hội. </w:t>
      </w:r>
    </w:p>
    <w:p w14:paraId="34D8CB8A"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noProof/>
          <w:color w:val="000000" w:themeColor="text1"/>
          <w:sz w:val="26"/>
          <w:szCs w:val="26"/>
          <w:lang w:val="vi-VN"/>
        </w:rPr>
        <w:t>Đồng thời, giải pháp này chưa phù hợp với quan điểm, chủ trương tăng cường phân cấp, phân quyền của Đảng, Nhà nước trong lĩnh vực quản lý hoạt động ngoại thương.</w:t>
      </w:r>
    </w:p>
    <w:p w14:paraId="36CD1F73"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rStyle w:val="Emphasis"/>
          <w:noProof/>
          <w:color w:val="000000" w:themeColor="text1"/>
          <w:sz w:val="26"/>
          <w:szCs w:val="26"/>
          <w:lang w:val="vi-VN"/>
        </w:rPr>
        <w:t xml:space="preserve">- </w:t>
      </w:r>
      <w:r w:rsidRPr="00ED5E38">
        <w:rPr>
          <w:rStyle w:val="Emphasis"/>
          <w:b/>
          <w:noProof/>
          <w:color w:val="000000" w:themeColor="text1"/>
          <w:sz w:val="26"/>
          <w:szCs w:val="26"/>
          <w:lang w:val="vi-VN"/>
        </w:rPr>
        <w:t>Tác động về kinh tế - xã hội</w:t>
      </w:r>
    </w:p>
    <w:p w14:paraId="73E9F709"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noProof/>
          <w:color w:val="000000" w:themeColor="text1"/>
          <w:sz w:val="26"/>
          <w:szCs w:val="26"/>
          <w:lang w:val="vi-VN"/>
        </w:rPr>
        <w:t xml:space="preserve">Giải pháp này phát sinh thêm chi phí xây dựng văn bản quy phạm pháp luật của Chính phủ để hướng dẫn các quy định tại Luật. </w:t>
      </w:r>
    </w:p>
    <w:p w14:paraId="5C34AB4D"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rStyle w:val="Emphasis"/>
          <w:b/>
          <w:bCs/>
          <w:i w:val="0"/>
          <w:iCs w:val="0"/>
          <w:noProof/>
          <w:color w:val="000000" w:themeColor="text1"/>
          <w:sz w:val="26"/>
          <w:szCs w:val="26"/>
          <w:lang w:val="vi-VN"/>
        </w:rPr>
      </w:pPr>
      <w:r w:rsidRPr="00ED5E38">
        <w:rPr>
          <w:rStyle w:val="Emphasis"/>
          <w:b/>
          <w:noProof/>
          <w:color w:val="000000" w:themeColor="text1"/>
          <w:sz w:val="26"/>
          <w:szCs w:val="26"/>
          <w:lang w:val="vi-VN"/>
        </w:rPr>
        <w:t>- Tác động về giới</w:t>
      </w:r>
    </w:p>
    <w:p w14:paraId="26F5781A"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noProof/>
          <w:color w:val="000000" w:themeColor="text1"/>
          <w:sz w:val="26"/>
          <w:szCs w:val="26"/>
          <w:lang w:val="vi-VN"/>
        </w:rPr>
        <w:t>Giải pháp này không làm phát sinh tác động khác biệt về giới do nội dung điều chỉnh không liên quan trực tiếp đến các yếu tố giới tính, vai trò giới hoặc quyền, nghĩa vụ đặc thù của các nhóm giới khác nhau.</w:t>
      </w:r>
    </w:p>
    <w:p w14:paraId="124A63C7" w14:textId="3F186C09"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bCs/>
          <w:noProof/>
          <w:color w:val="000000" w:themeColor="text1"/>
          <w:sz w:val="26"/>
          <w:szCs w:val="26"/>
          <w:lang w:val="vi-VN"/>
        </w:rPr>
      </w:pPr>
      <w:r w:rsidRPr="00ED5E38">
        <w:rPr>
          <w:rStyle w:val="Emphasis"/>
          <w:b/>
          <w:noProof/>
          <w:color w:val="000000" w:themeColor="text1"/>
          <w:sz w:val="26"/>
          <w:szCs w:val="26"/>
          <w:lang w:val="vi-VN"/>
        </w:rPr>
        <w:t>- Tác động của thủ tục hành chính</w:t>
      </w:r>
    </w:p>
    <w:p w14:paraId="4AE2781F" w14:textId="44FAC80A"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bổ</w:t>
      </w:r>
      <w:r w:rsidRPr="00ED5E38">
        <w:rPr>
          <w:b/>
          <w:bCs/>
          <w:noProof/>
          <w:color w:val="000000" w:themeColor="text1"/>
          <w:sz w:val="26"/>
          <w:szCs w:val="26"/>
          <w:lang w:val="vi-VN"/>
        </w:rPr>
        <w:t xml:space="preserve"> </w:t>
      </w:r>
      <w:r w:rsidRPr="00ED5E38">
        <w:rPr>
          <w:bCs/>
          <w:noProof/>
          <w:color w:val="000000" w:themeColor="text1"/>
          <w:sz w:val="26"/>
          <w:szCs w:val="26"/>
          <w:lang w:val="vi-VN"/>
        </w:rPr>
        <w:t>sung nội dung tại Luật giao Chính phủ quy định chi tiết các nội dung</w:t>
      </w:r>
      <w:r w:rsidRPr="00ED5E38">
        <w:rPr>
          <w:noProof/>
          <w:color w:val="000000" w:themeColor="text1"/>
          <w:sz w:val="26"/>
          <w:szCs w:val="26"/>
          <w:lang w:val="vi-VN"/>
        </w:rPr>
        <w:t xml:space="preserve"> (i) Cơ chế cho doanh nghiệp nhập khẩu lại hàng hóa đã xuất khẩu (bao gồm hàng cấm nhập khẩu) và </w:t>
      </w:r>
      <w:r w:rsidR="00C1643A" w:rsidRPr="00ED5E38">
        <w:rPr>
          <w:noProof/>
          <w:color w:val="000000" w:themeColor="text1"/>
          <w:sz w:val="26"/>
          <w:szCs w:val="26"/>
          <w:lang w:val="vi-VN"/>
        </w:rPr>
        <w:t>xuất khẩu</w:t>
      </w:r>
      <w:r w:rsidRPr="00ED5E38">
        <w:rPr>
          <w:noProof/>
          <w:color w:val="000000" w:themeColor="text1"/>
          <w:sz w:val="26"/>
          <w:szCs w:val="26"/>
          <w:lang w:val="vi-VN"/>
        </w:rPr>
        <w:t xml:space="preserve"> sang thị trường nước khác; (ii) Hoàn thiện cơ chế tự chứng nhận xuất xứ hàng hóa xuất khẩu, nhập khẩu; (iii) </w:t>
      </w:r>
      <w:r w:rsidR="00C1643A" w:rsidRPr="00ED5E38">
        <w:rPr>
          <w:noProof/>
          <w:color w:val="000000" w:themeColor="text1"/>
          <w:sz w:val="26"/>
          <w:szCs w:val="26"/>
          <w:lang w:val="vi-VN"/>
        </w:rPr>
        <w:t>H</w:t>
      </w:r>
      <w:r w:rsidR="009C7304" w:rsidRPr="00ED5E38">
        <w:rPr>
          <w:noProof/>
          <w:color w:val="000000" w:themeColor="text1"/>
          <w:sz w:val="26"/>
          <w:szCs w:val="26"/>
          <w:lang w:val="vi-VN"/>
        </w:rPr>
        <w:t>oàn thiện khái niệm về Giấy chứng nhận lưu hành tự do,</w:t>
      </w:r>
      <w:r w:rsidRPr="00ED5E38">
        <w:rPr>
          <w:noProof/>
          <w:color w:val="000000" w:themeColor="text1"/>
          <w:sz w:val="26"/>
          <w:szCs w:val="26"/>
          <w:lang w:val="vi-VN"/>
        </w:rPr>
        <w:t xml:space="preserve"> sẽ làm phát sinh sửa đổi, bổ sung thủ tục hành chính:</w:t>
      </w:r>
    </w:p>
    <w:p w14:paraId="0932A303" w14:textId="77777777" w:rsidR="00893D79" w:rsidRPr="00893D79"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Ví dụ: </w:t>
      </w:r>
      <w:r w:rsidR="009C7304" w:rsidRPr="00ED5E38">
        <w:rPr>
          <w:noProof/>
          <w:color w:val="000000" w:themeColor="text1"/>
          <w:sz w:val="26"/>
          <w:szCs w:val="26"/>
          <w:lang w:val="vi-VN"/>
        </w:rPr>
        <w:t>Đối với nội dung hoàn thiện cơ chế tự chứng nhận xuất xứ hàng hóa, trường hợp Luật giao Chính phủ quy định chi tiết các nội dung và quy định tiêu chí đối với cơ quan, tổ chức cấp C/O sẽ dẫn đến không linh hoạt trong việc sửa đổi, bổ sung các thủ tục hành chính (trong trường hợp cần thiết và theo cam kết trong từng FTA). Chính phủ tiếp tục ban hành văn bản và có thể phân cấp cho các Bộ ngành có văn bản hướng dẫn sẽ dẫn đến gia tăng xây dựng văn bản quy phạm pháp luật, phát sinh chi phí phục vụ việc soạn thảo.</w:t>
      </w:r>
    </w:p>
    <w:p w14:paraId="3E426083" w14:textId="27FBFD56" w:rsidR="00893D79" w:rsidRPr="00893D79" w:rsidRDefault="00893D79"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893D79">
        <w:rPr>
          <w:b/>
          <w:noProof/>
          <w:sz w:val="26"/>
          <w:szCs w:val="26"/>
        </w:rPr>
        <w:t>2.2.2. Giải pháp tối ưu được lựa chọn và lý do lựa chọn giải pháp</w:t>
      </w:r>
    </w:p>
    <w:p w14:paraId="6A8D2D5C" w14:textId="77777777" w:rsidR="00A11A66" w:rsidRPr="00893D79"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noProof/>
          <w:color w:val="000000" w:themeColor="text1"/>
          <w:sz w:val="26"/>
          <w:szCs w:val="26"/>
          <w:lang w:val="vi-VN"/>
        </w:rPr>
      </w:pPr>
      <w:r w:rsidRPr="00893D79">
        <w:rPr>
          <w:noProof/>
          <w:color w:val="000000" w:themeColor="text1"/>
          <w:sz w:val="26"/>
          <w:szCs w:val="26"/>
          <w:lang w:val="vi-VN"/>
        </w:rPr>
        <w:t>Bộ Công Thương kiến nghị lựa chọn “</w:t>
      </w:r>
      <w:r w:rsidRPr="00893D79">
        <w:rPr>
          <w:b/>
          <w:noProof/>
          <w:color w:val="000000" w:themeColor="text1"/>
          <w:sz w:val="26"/>
          <w:szCs w:val="26"/>
          <w:lang w:val="vi-VN"/>
        </w:rPr>
        <w:t>Giải pháp 1</w:t>
      </w:r>
      <w:r w:rsidRPr="00893D79">
        <w:rPr>
          <w:noProof/>
          <w:color w:val="000000" w:themeColor="text1"/>
          <w:sz w:val="26"/>
          <w:szCs w:val="26"/>
          <w:lang w:val="vi-VN"/>
        </w:rPr>
        <w:t>” dựa trên các lý do sau đây:</w:t>
      </w:r>
    </w:p>
    <w:p w14:paraId="610D5842" w14:textId="77777777" w:rsidR="00A11A66" w:rsidRPr="00ED5E38"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b/>
          <w:noProof/>
          <w:color w:val="000000" w:themeColor="text1"/>
          <w:sz w:val="26"/>
          <w:szCs w:val="26"/>
          <w:lang w:val="vi-VN"/>
        </w:rPr>
      </w:pPr>
      <w:r w:rsidRPr="00893D79">
        <w:rPr>
          <w:noProof/>
          <w:color w:val="000000" w:themeColor="text1"/>
          <w:sz w:val="26"/>
          <w:szCs w:val="26"/>
          <w:lang w:val="vi-VN"/>
        </w:rPr>
        <w:t>Thứ nhất, thống nhất quan điểm</w:t>
      </w:r>
      <w:r w:rsidRPr="00ED5E38">
        <w:rPr>
          <w:noProof/>
          <w:color w:val="000000" w:themeColor="text1"/>
          <w:sz w:val="26"/>
          <w:szCs w:val="26"/>
          <w:lang w:val="vi-VN"/>
        </w:rPr>
        <w:t>, chủ trương của Đảng và nhà nước về việc tăng cường phân cấp, phân quyền, nâng cao tính chủ động, trách nhiệm và hiệu quả quản lý của cơ quan được phân quyền, phân cấp.</w:t>
      </w:r>
    </w:p>
    <w:p w14:paraId="03A362BD" w14:textId="6D01C2CF" w:rsidR="00A11A66" w:rsidRDefault="00A11A66"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Thứ hai, giảm tải việc xây dựng nhiều văn bản quy phạm pháp luật để hướng dẫn thực hiện các nội dung Luật giao.</w:t>
      </w:r>
    </w:p>
    <w:p w14:paraId="3ECDB011" w14:textId="6037BF1C" w:rsidR="0027142B" w:rsidRDefault="0027142B" w:rsidP="0027142B">
      <w:pPr>
        <w:widowControl w:val="0"/>
        <w:pBdr>
          <w:top w:val="dotted" w:sz="4" w:space="0" w:color="FFFFFF"/>
          <w:left w:val="dotted" w:sz="4" w:space="0" w:color="FFFFFF"/>
          <w:bottom w:val="dotted" w:sz="4" w:space="0"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Thứ ba, tiết kiệm chi phí cho ngân sách nhà nước trong việc chi trả cho hoạt động xây dựng nhiều văn bản hướng dẫn</w:t>
      </w:r>
      <w:r>
        <w:rPr>
          <w:noProof/>
          <w:color w:val="000000" w:themeColor="text1"/>
          <w:sz w:val="26"/>
          <w:szCs w:val="26"/>
        </w:rPr>
        <w:t>.</w:t>
      </w:r>
    </w:p>
    <w:p w14:paraId="3015F200" w14:textId="57C539DE" w:rsidR="0027142B" w:rsidRPr="0027142B" w:rsidRDefault="0027142B" w:rsidP="006400D7">
      <w:pPr>
        <w:pStyle w:val="Heading1"/>
        <w:rPr>
          <w:color w:val="000000" w:themeColor="text1"/>
        </w:rPr>
      </w:pPr>
      <w:r>
        <w:lastRenderedPageBreak/>
        <w:t>2</w:t>
      </w:r>
      <w:r w:rsidRPr="00ED5E38">
        <w:t>.3. Nội dung 3: Tháo gỡ khó khăn, vướng mắc các quy định của Luật Cạnh tranh</w:t>
      </w:r>
    </w:p>
    <w:bookmarkEnd w:id="11"/>
    <w:p w14:paraId="706512A8" w14:textId="77777777" w:rsidR="00ED5C78" w:rsidRPr="00893D79" w:rsidRDefault="00ED5C78" w:rsidP="00893D79">
      <w:pPr>
        <w:spacing w:before="120" w:after="120" w:line="340" w:lineRule="exact"/>
        <w:ind w:firstLine="709"/>
        <w:jc w:val="both"/>
        <w:rPr>
          <w:noProof/>
          <w:color w:val="000000" w:themeColor="text1"/>
          <w:spacing w:val="-2"/>
          <w:sz w:val="26"/>
          <w:szCs w:val="26"/>
          <w:lang w:val="vi-VN"/>
        </w:rPr>
      </w:pPr>
      <w:r w:rsidRPr="00893D79">
        <w:rPr>
          <w:noProof/>
          <w:color w:val="000000" w:themeColor="text1"/>
          <w:spacing w:val="-2"/>
          <w:sz w:val="26"/>
          <w:szCs w:val="26"/>
          <w:lang w:val="vi-VN"/>
        </w:rPr>
        <w:t>Sửa đổi Luật Cạnh tranh nhằm thực thi Chính sách nâng cao hiệu lực, hiệu quả thực thi pháp luật cạnh tranh, bảo đảm môi trường cạnh tranh công bằng, lành mạnh, đặc biệt trong bối cảnh kinh tế số và các mô hình kinh doanh mới phát triển bao gồm các nội dung sau:</w:t>
      </w:r>
    </w:p>
    <w:p w14:paraId="7089B1D6" w14:textId="77777777" w:rsidR="00ED5C78" w:rsidRPr="00ED5E38" w:rsidRDefault="00ED5C78" w:rsidP="00893D79">
      <w:pPr>
        <w:spacing w:before="120" w:after="120" w:line="340" w:lineRule="exact"/>
        <w:ind w:firstLine="709"/>
        <w:jc w:val="both"/>
        <w:rPr>
          <w:noProof/>
          <w:color w:val="000000" w:themeColor="text1"/>
          <w:sz w:val="26"/>
          <w:szCs w:val="26"/>
          <w:lang w:val="vi-VN"/>
        </w:rPr>
      </w:pPr>
      <w:r w:rsidRPr="00ED5E38">
        <w:rPr>
          <w:bCs/>
          <w:i/>
          <w:iCs/>
          <w:noProof/>
          <w:color w:val="000000" w:themeColor="text1"/>
          <w:sz w:val="26"/>
          <w:szCs w:val="26"/>
          <w:lang w:val="vi-VN"/>
        </w:rPr>
        <w:t>Thứ nhất</w:t>
      </w:r>
      <w:r w:rsidRPr="00ED5E38">
        <w:rPr>
          <w:noProof/>
          <w:color w:val="000000" w:themeColor="text1"/>
          <w:sz w:val="26"/>
          <w:szCs w:val="26"/>
          <w:lang w:val="vi-VN"/>
        </w:rPr>
        <w:t xml:space="preserve">, nâng cao hiệu lực, hiệu quả phát hiện, điều tra và xử lý vụ việc cạnh tranh nhằm xử lý nghiêm các hành vi hạn chế cạnh tranh, hành vi cạnh tranh không lành mạnh phù hợp với thực tiễn cạnh tranh trên thị trường, sự phát triển của nền kinh tế, đặc biệt là kinh tế số, thông qua các giải pháp: </w:t>
      </w:r>
    </w:p>
    <w:p w14:paraId="6D7853DA" w14:textId="77777777" w:rsidR="00ED5C78" w:rsidRPr="00ED5E38" w:rsidRDefault="00ED5C78"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Hoàn thiện quy định về hành vi bị cấm theo hướng bổ sung, làm rõ trách nhiệm của chủ thể giúp sức, hỗ trợ thực hiện hành vi hạn chế cạnh tranh, hành vi cạnh tranh không lành mạnh; </w:t>
      </w:r>
      <w:r w:rsidRPr="00ED5E38">
        <w:rPr>
          <w:rStyle w:val="Strong"/>
          <w:b w:val="0"/>
          <w:noProof/>
          <w:color w:val="000000" w:themeColor="text1"/>
          <w:sz w:val="26"/>
          <w:szCs w:val="26"/>
          <w:lang w:val="vi-VN"/>
        </w:rPr>
        <w:t>bổ sung hành vi lạm dụng vị trí thống lĩnh thị trường, lạm dụng vị trí độc quyền, hành vi cạnh tranh không lành mạnh bị cấm.</w:t>
      </w:r>
    </w:p>
    <w:p w14:paraId="3C35CECD" w14:textId="77777777" w:rsidR="00ED5C78" w:rsidRPr="00ED5E38" w:rsidRDefault="00ED5C78"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Cụ thể hóa và tăng cường kiểm soát hành vi lạm dụng vị trí thống lĩnh, vị trí độc quyền trong môi trường nền tảng số theo hướng bổ sung, làm rõ các hành vi như tự ưu tiên, phân biệt đối xử, áp đặt điều kiện giao dịch không công bằng, ràng buộc dịch vụ, cản trở dịch vụ thay thế, can thiệp cơ chế xếp hạng, lạm dụng dữ liệu,..</w:t>
      </w:r>
    </w:p>
    <w:p w14:paraId="774B6B02" w14:textId="77777777" w:rsidR="00ED5C78" w:rsidRPr="00ED5E38" w:rsidRDefault="00ED5C78" w:rsidP="00893D79">
      <w:pPr>
        <w:spacing w:before="120" w:after="120" w:line="340" w:lineRule="exact"/>
        <w:ind w:firstLine="709"/>
        <w:jc w:val="both"/>
        <w:rPr>
          <w:noProof/>
          <w:color w:val="000000" w:themeColor="text1"/>
          <w:sz w:val="26"/>
          <w:szCs w:val="26"/>
          <w:lang w:val="vi-VN"/>
        </w:rPr>
      </w:pPr>
      <w:r w:rsidRPr="00ED5E38">
        <w:rPr>
          <w:bCs/>
          <w:i/>
          <w:iCs/>
          <w:noProof/>
          <w:color w:val="000000" w:themeColor="text1"/>
          <w:sz w:val="26"/>
          <w:szCs w:val="26"/>
          <w:lang w:val="vi-VN"/>
        </w:rPr>
        <w:t>Thứ hai</w:t>
      </w:r>
      <w:r w:rsidRPr="00ED5E38">
        <w:rPr>
          <w:bCs/>
          <w:noProof/>
          <w:color w:val="000000" w:themeColor="text1"/>
          <w:sz w:val="26"/>
          <w:szCs w:val="26"/>
          <w:lang w:val="vi-VN"/>
        </w:rPr>
        <w:t xml:space="preserve">, hoàn thiện </w:t>
      </w:r>
      <w:r w:rsidRPr="00ED5E38">
        <w:rPr>
          <w:noProof/>
          <w:color w:val="000000" w:themeColor="text1"/>
          <w:sz w:val="26"/>
          <w:szCs w:val="26"/>
          <w:lang w:val="vi-VN"/>
        </w:rPr>
        <w:t>quy định về xử lý vi phạm pháp luật về cạnh tranh theo hướng quy định quy trình xử phạt vi phạm hành chính đối với hành vi vi phạm quy định về thỏa thuận hạn chế cạnh tranh, lạm dụng vị trí thống lĩnh thị trường, lạm dụng vị trí độc quyền, tập trung kinh tế và cạnh tranh không lành mạnh thực hiện theo quy định của pháp luật về cạnh tranh. Quy trình xử phạt vi phạm hành chính đối với hành vi vi phạm quy định pháp luật về cạnh tranh khác thực hiện theo quy định pháp luật về xử lý vi phạm hành chính.</w:t>
      </w:r>
    </w:p>
    <w:p w14:paraId="23551215" w14:textId="5E463F76" w:rsidR="00ED5C78" w:rsidRPr="00ED5E38" w:rsidRDefault="00ED5C78" w:rsidP="006400D7">
      <w:pPr>
        <w:pStyle w:val="Heading1"/>
        <w:rPr>
          <w:i/>
        </w:rPr>
      </w:pPr>
      <w:bookmarkStart w:id="28" w:name="_Hlk219722752"/>
      <w:r w:rsidRPr="00ED5E38">
        <w:t>2.</w:t>
      </w:r>
      <w:r w:rsidR="0027142B">
        <w:t>3</w:t>
      </w:r>
      <w:r w:rsidRPr="00ED5E38">
        <w:t>.1. Đánh giá tác động</w:t>
      </w:r>
    </w:p>
    <w:bookmarkEnd w:id="28"/>
    <w:p w14:paraId="3E44C63B" w14:textId="62A37332" w:rsidR="00A97C72" w:rsidRPr="00ED5E38" w:rsidRDefault="00A97C72" w:rsidP="006400D7">
      <w:pPr>
        <w:pStyle w:val="Heading1"/>
        <w:rPr>
          <w:i/>
        </w:rPr>
      </w:pPr>
      <w:r w:rsidRPr="00ED5E38">
        <w:t>2.</w:t>
      </w:r>
      <w:r w:rsidR="0027142B">
        <w:t>3</w:t>
      </w:r>
      <w:r w:rsidRPr="00ED5E38">
        <w:t>.1.1. Vấn đề 1: Hoàn thiện quy định về hành vi bị cấm và tiêu chí xác định thị trường liên quan, thị phần, sức mạnh thị trường đáng kể của doanh nghiệp trên thị trường liên quan</w:t>
      </w:r>
    </w:p>
    <w:p w14:paraId="7D88B6C3" w14:textId="65D38BF5" w:rsidR="00A97C72" w:rsidRPr="00ED5E38" w:rsidRDefault="00A97C72" w:rsidP="006400D7">
      <w:pPr>
        <w:pStyle w:val="Heading1"/>
      </w:pPr>
      <w:r w:rsidRPr="00ED5E38">
        <w:t>2.</w:t>
      </w:r>
      <w:r w:rsidR="0027142B">
        <w:t>3</w:t>
      </w:r>
      <w:r w:rsidRPr="00ED5E38">
        <w:t>.1.1.</w:t>
      </w:r>
      <w:r w:rsidR="0007395F" w:rsidRPr="00ED5E38">
        <w:t>1</w:t>
      </w:r>
      <w:r w:rsidRPr="00ED5E38">
        <w:t>. Đánh giá tác động</w:t>
      </w:r>
    </w:p>
    <w:p w14:paraId="00D8588B" w14:textId="77777777" w:rsidR="00A97C72" w:rsidRPr="00ED5E38" w:rsidRDefault="00A97C72" w:rsidP="00893D79">
      <w:pPr>
        <w:pStyle w:val="Heading3"/>
        <w:ind w:firstLine="709"/>
        <w:rPr>
          <w:i w:val="0"/>
          <w:iCs/>
          <w:noProof/>
          <w:color w:val="000000" w:themeColor="text1"/>
          <w:lang w:val="vi-VN"/>
        </w:rPr>
      </w:pPr>
      <w:r w:rsidRPr="00ED5E38">
        <w:rPr>
          <w:noProof/>
          <w:color w:val="000000" w:themeColor="text1"/>
          <w:lang w:val="vi-VN"/>
        </w:rPr>
        <w:t>a)</w:t>
      </w:r>
      <w:r w:rsidRPr="00ED5E38">
        <w:rPr>
          <w:iCs/>
          <w:noProof/>
          <w:color w:val="000000" w:themeColor="text1"/>
          <w:lang w:val="vi-VN"/>
        </w:rPr>
        <w:t xml:space="preserve"> </w:t>
      </w:r>
      <w:r w:rsidRPr="00ED5E38">
        <w:rPr>
          <w:noProof/>
          <w:color w:val="000000" w:themeColor="text1"/>
          <w:lang w:val="vi-VN"/>
        </w:rPr>
        <w:t xml:space="preserve">Giải pháp 1: Sửa đổi, bổ sung trực tiếp các quy định về hành vi </w:t>
      </w:r>
      <w:bookmarkStart w:id="29" w:name="dieu_8"/>
      <w:r w:rsidRPr="00ED5E38">
        <w:rPr>
          <w:noProof/>
          <w:color w:val="000000" w:themeColor="text1"/>
          <w:lang w:val="vi-VN"/>
        </w:rPr>
        <w:t>bị nghiêm cấm có liên quan đến cạnh tranh</w:t>
      </w:r>
      <w:bookmarkEnd w:id="29"/>
      <w:r w:rsidRPr="00ED5E38">
        <w:rPr>
          <w:noProof/>
          <w:color w:val="000000" w:themeColor="text1"/>
          <w:lang w:val="vi-VN"/>
        </w:rPr>
        <w:t>, hành vi lạm dụng vị trí thống lĩnh thị trường, lạm dụng vị trí độc quyền và hành vi cạnh tranh không lành mạnh bị cấm trong Luật Cạnh tranh và hoàn thiện cách tiếp cận xác định thị trường liên quan, bổ sung tiêu chí xác định thị phần, sức mạnh thị trường đáng kể của doanh nghiệp trên thị trường liên quan nhằm lấp khoảng trống pháp lý, phản ánh đúng bản chất cạnh tranh trong bối cảnh kinh tế số. Cụ thể:</w:t>
      </w:r>
      <w:r w:rsidRPr="00ED5E38">
        <w:rPr>
          <w:iCs/>
          <w:noProof/>
          <w:color w:val="000000" w:themeColor="text1"/>
          <w:lang w:val="vi-VN"/>
        </w:rPr>
        <w:t xml:space="preserve"> </w:t>
      </w:r>
    </w:p>
    <w:p w14:paraId="06C99029" w14:textId="77777777" w:rsidR="00A97C72" w:rsidRPr="00ED5E38" w:rsidRDefault="00A97C72" w:rsidP="00893D79">
      <w:pPr>
        <w:numPr>
          <w:ilvl w:val="0"/>
          <w:numId w:val="16"/>
        </w:numPr>
        <w:tabs>
          <w:tab w:val="clear" w:pos="720"/>
          <w:tab w:val="num" w:pos="851"/>
          <w:tab w:val="left" w:pos="993"/>
        </w:tabs>
        <w:spacing w:before="120" w:after="120" w:line="340" w:lineRule="exact"/>
        <w:ind w:left="0" w:firstLine="709"/>
        <w:jc w:val="both"/>
        <w:rPr>
          <w:i/>
          <w:iCs/>
          <w:noProof/>
          <w:color w:val="000000" w:themeColor="text1"/>
          <w:sz w:val="26"/>
          <w:szCs w:val="26"/>
          <w:lang w:val="vi-VN"/>
        </w:rPr>
      </w:pPr>
      <w:r w:rsidRPr="00ED5E38">
        <w:rPr>
          <w:i/>
          <w:iCs/>
          <w:noProof/>
          <w:color w:val="000000" w:themeColor="text1"/>
          <w:sz w:val="26"/>
          <w:szCs w:val="26"/>
          <w:lang w:val="vi-VN"/>
        </w:rPr>
        <w:t>Rà soát, bổ sung hành vi “giúp sức” của tổ chức, cá nhân liên quan để doanh nghiệp thực hiện hành vi hạn chế cạnh tranh, cạnh tranh không lành mạnh tại khoản 2 Điều 8 Luật Cạnh tranh;</w:t>
      </w:r>
    </w:p>
    <w:p w14:paraId="7DAC2931" w14:textId="77777777" w:rsidR="00A97C72" w:rsidRPr="00ED5E38" w:rsidRDefault="00A97C72" w:rsidP="00893D79">
      <w:pPr>
        <w:numPr>
          <w:ilvl w:val="0"/>
          <w:numId w:val="16"/>
        </w:numPr>
        <w:tabs>
          <w:tab w:val="clear" w:pos="720"/>
          <w:tab w:val="num" w:pos="851"/>
          <w:tab w:val="left" w:pos="993"/>
        </w:tabs>
        <w:spacing w:before="120" w:after="120" w:line="340" w:lineRule="exact"/>
        <w:ind w:left="0" w:firstLine="709"/>
        <w:jc w:val="both"/>
        <w:rPr>
          <w:i/>
          <w:iCs/>
          <w:noProof/>
          <w:color w:val="000000" w:themeColor="text1"/>
          <w:sz w:val="26"/>
          <w:szCs w:val="26"/>
          <w:lang w:val="vi-VN"/>
        </w:rPr>
      </w:pPr>
      <w:r w:rsidRPr="00ED5E38">
        <w:rPr>
          <w:i/>
          <w:iCs/>
          <w:noProof/>
          <w:color w:val="000000" w:themeColor="text1"/>
          <w:sz w:val="26"/>
          <w:szCs w:val="26"/>
          <w:lang w:val="vi-VN"/>
        </w:rPr>
        <w:lastRenderedPageBreak/>
        <w:t>Rà soát, bổ sung các hành vi lạm dụng vị trí thống lĩnh thị trường, vị trí độc quyền bị cấm đối với nền tảng số tại Điều 27 Luật Cạnh tranh;</w:t>
      </w:r>
    </w:p>
    <w:p w14:paraId="50B54043" w14:textId="77777777" w:rsidR="00A97C72" w:rsidRPr="00ED5E38" w:rsidRDefault="00A97C72" w:rsidP="00893D79">
      <w:pPr>
        <w:numPr>
          <w:ilvl w:val="0"/>
          <w:numId w:val="16"/>
        </w:numPr>
        <w:tabs>
          <w:tab w:val="clear" w:pos="720"/>
          <w:tab w:val="num" w:pos="851"/>
          <w:tab w:val="left" w:pos="993"/>
        </w:tabs>
        <w:spacing w:before="120" w:after="120" w:line="340" w:lineRule="exact"/>
        <w:ind w:left="0" w:firstLine="709"/>
        <w:jc w:val="both"/>
        <w:rPr>
          <w:i/>
          <w:iCs/>
          <w:noProof/>
          <w:color w:val="000000" w:themeColor="text1"/>
          <w:sz w:val="26"/>
          <w:szCs w:val="26"/>
          <w:lang w:val="vi-VN"/>
        </w:rPr>
      </w:pPr>
      <w:r w:rsidRPr="00ED5E38">
        <w:rPr>
          <w:i/>
          <w:iCs/>
          <w:noProof/>
          <w:color w:val="000000" w:themeColor="text1"/>
          <w:sz w:val="26"/>
          <w:szCs w:val="26"/>
          <w:lang w:val="vi-VN"/>
        </w:rPr>
        <w:t xml:space="preserve">Rà soát, hoàn thiện quy định về xác định thị trường liên quan theo hướng bãi bỏ quy định cứng về thị trường sản phẩm liên quan và thị trường địa lý liên quan với cách tiếp cận truyền thống dựa trên khả năng thay thế cho nhau về đặc tính, mục đích sử dụng và giá cả, điều kiện cạnh tranh tương tự giữa các khu vực địa lý nhất định và giao Chính phủ quy định chi tiết phương pháp xác định thị trường liên quan, trong đó có xem xét đến đặc thù của nền tảng số; </w:t>
      </w:r>
    </w:p>
    <w:p w14:paraId="546F2B85" w14:textId="77777777" w:rsidR="00A97C72" w:rsidRPr="00ED5E38" w:rsidRDefault="00A97C72" w:rsidP="00893D79">
      <w:pPr>
        <w:numPr>
          <w:ilvl w:val="0"/>
          <w:numId w:val="16"/>
        </w:numPr>
        <w:tabs>
          <w:tab w:val="clear" w:pos="720"/>
          <w:tab w:val="num" w:pos="851"/>
          <w:tab w:val="left" w:pos="993"/>
        </w:tabs>
        <w:spacing w:before="120" w:after="120" w:line="340" w:lineRule="exact"/>
        <w:ind w:left="0" w:firstLine="709"/>
        <w:jc w:val="both"/>
        <w:rPr>
          <w:i/>
          <w:iCs/>
          <w:noProof/>
          <w:color w:val="000000" w:themeColor="text1"/>
          <w:sz w:val="26"/>
          <w:szCs w:val="26"/>
          <w:lang w:val="vi-VN"/>
        </w:rPr>
      </w:pPr>
      <w:r w:rsidRPr="00ED5E38">
        <w:rPr>
          <w:i/>
          <w:iCs/>
          <w:noProof/>
          <w:color w:val="000000" w:themeColor="text1"/>
          <w:sz w:val="26"/>
          <w:szCs w:val="26"/>
          <w:lang w:val="vi-VN"/>
        </w:rPr>
        <w:t>Rà soát, bổ sung các tiêu chí xác định thị phần và sức mạnh thị trường đáng kể của doanh nghiệp trên thị trường liên quan trong lĩnh vực nền tảng số, như quy mô, mạng lưới người dùng, số lượng giao dịch, lượt truy cập…;</w:t>
      </w:r>
    </w:p>
    <w:p w14:paraId="47E57DB5" w14:textId="77777777" w:rsidR="00A97C72" w:rsidRPr="00ED5E38" w:rsidRDefault="00A97C72" w:rsidP="00893D79">
      <w:pPr>
        <w:numPr>
          <w:ilvl w:val="0"/>
          <w:numId w:val="16"/>
        </w:numPr>
        <w:tabs>
          <w:tab w:val="clear" w:pos="720"/>
          <w:tab w:val="num" w:pos="851"/>
          <w:tab w:val="left" w:pos="993"/>
        </w:tabs>
        <w:spacing w:before="120" w:after="120" w:line="340" w:lineRule="exact"/>
        <w:ind w:left="0" w:firstLine="709"/>
        <w:jc w:val="both"/>
        <w:rPr>
          <w:i/>
          <w:iCs/>
          <w:noProof/>
          <w:color w:val="000000" w:themeColor="text1"/>
          <w:sz w:val="26"/>
          <w:szCs w:val="26"/>
          <w:lang w:val="vi-VN"/>
        </w:rPr>
      </w:pPr>
      <w:r w:rsidRPr="00ED5E38">
        <w:rPr>
          <w:i/>
          <w:iCs/>
          <w:noProof/>
          <w:color w:val="000000" w:themeColor="text1"/>
          <w:sz w:val="26"/>
          <w:szCs w:val="26"/>
          <w:lang w:val="vi-VN"/>
        </w:rPr>
        <w:t>Bổ sung một số hành vi cạnh tranh không lành mạnh bị cấm, đồng thời bãi bỏ quy định cấm đối với hành vi xâm phạm thông tin bí mật trong kinh doanh nhằm tránh trùng lặp, chồng chéo với pháp luật về sở hữu trí tuệ.</w:t>
      </w:r>
    </w:p>
    <w:p w14:paraId="4A147447" w14:textId="50591E65" w:rsidR="00A97C72" w:rsidRPr="00ED5E38" w:rsidRDefault="00893D79" w:rsidP="00893D79">
      <w:pPr>
        <w:spacing w:before="120" w:after="120" w:line="340" w:lineRule="exact"/>
        <w:ind w:firstLine="709"/>
        <w:rPr>
          <w:b/>
          <w:bCs/>
          <w:noProof/>
          <w:color w:val="000000" w:themeColor="text1"/>
          <w:sz w:val="26"/>
          <w:szCs w:val="26"/>
          <w:lang w:val="vi-VN"/>
        </w:rPr>
      </w:pPr>
      <w:r w:rsidRPr="00893D79">
        <w:rPr>
          <w:b/>
          <w:bCs/>
          <w:i/>
          <w:iCs/>
          <w:noProof/>
          <w:color w:val="000000" w:themeColor="text1"/>
          <w:sz w:val="26"/>
          <w:szCs w:val="26"/>
          <w:lang w:val="vi-VN"/>
        </w:rPr>
        <w:t xml:space="preserve">- </w:t>
      </w:r>
      <w:r w:rsidR="00A97C72" w:rsidRPr="00ED5E38">
        <w:rPr>
          <w:b/>
          <w:bCs/>
          <w:i/>
          <w:iCs/>
          <w:noProof/>
          <w:color w:val="000000" w:themeColor="text1"/>
          <w:sz w:val="26"/>
          <w:szCs w:val="26"/>
          <w:lang w:val="vi-VN"/>
        </w:rPr>
        <w:t>Tác động đối với hệ thống pháp luật</w:t>
      </w:r>
    </w:p>
    <w:p w14:paraId="0DBD9460" w14:textId="05EFE0BC" w:rsidR="00A97C72" w:rsidRPr="00893D79" w:rsidRDefault="00A97C72" w:rsidP="00893D79">
      <w:pPr>
        <w:spacing w:before="120" w:after="120" w:line="340" w:lineRule="exact"/>
        <w:ind w:firstLine="709"/>
        <w:jc w:val="both"/>
        <w:rPr>
          <w:noProof/>
          <w:color w:val="000000" w:themeColor="text1"/>
          <w:sz w:val="26"/>
          <w:szCs w:val="26"/>
          <w:lang w:val="vi-VN"/>
        </w:rPr>
      </w:pPr>
      <w:r w:rsidRPr="00893D79">
        <w:rPr>
          <w:noProof/>
          <w:color w:val="000000" w:themeColor="text1"/>
          <w:sz w:val="26"/>
          <w:szCs w:val="26"/>
          <w:lang w:val="vi-VN"/>
        </w:rPr>
        <w:t>Tích cực</w:t>
      </w:r>
    </w:p>
    <w:p w14:paraId="3CF1CC6A" w14:textId="77777777" w:rsidR="00A97C72" w:rsidRPr="00ED5E38" w:rsidRDefault="00A97C72" w:rsidP="00893D79">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ED5E38">
        <w:rPr>
          <w:rFonts w:ascii="Times New Roman" w:eastAsia="Times New Roman" w:hAnsi="Times New Roman"/>
          <w:noProof/>
          <w:color w:val="000000" w:themeColor="text1"/>
          <w:sz w:val="26"/>
          <w:szCs w:val="26"/>
          <w:lang w:val="vi-VN"/>
        </w:rPr>
        <w:t xml:space="preserve">+ Về tính hợp hiến: </w:t>
      </w:r>
    </w:p>
    <w:p w14:paraId="233BD86D"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Hiến pháp quy định nền kinh tế Việt Nam là nền kinh tế thị trường định hướng xã hội chủ nghĩa với nhiều hình thức sở hữu, nhiều thành phần kinh tế (Khoản 1 Điều 51 Hiến pháp), trong đó, các chủ thể thuộc các thành phần kinh tế bình đẳng, hợp tác và cạnh tranh theo pháp luật (Khoản 2 Điều 51 Hiến pháp); Nhà nước khuyến khích, tạo điều kiện để doanh nhân, doanh nghiệp và cá nhân, tổ chức khác đầu tư, sản xuất, kinh doanh; phát triển bền vững các ngành kinh tế, góp phần xây dựng đất nước (Khoản 3 Điều 51 Hiến pháp); </w:t>
      </w:r>
      <w:bookmarkStart w:id="30" w:name="dieu_52_name"/>
      <w:r w:rsidRPr="00ED5E38">
        <w:rPr>
          <w:noProof/>
          <w:color w:val="000000" w:themeColor="text1"/>
          <w:sz w:val="26"/>
          <w:szCs w:val="26"/>
          <w:lang w:val="vi-VN"/>
        </w:rPr>
        <w:t>Nhà nước xây dựng và hoàn thiện thể chế kinh tế, điều tiết nền kinh tế trên cơ sở tôn trọng các quy luật thị trường</w:t>
      </w:r>
      <w:bookmarkEnd w:id="30"/>
      <w:r w:rsidRPr="00ED5E38">
        <w:rPr>
          <w:noProof/>
          <w:color w:val="000000" w:themeColor="text1"/>
          <w:sz w:val="26"/>
          <w:szCs w:val="26"/>
          <w:lang w:val="vi-VN"/>
        </w:rPr>
        <w:t xml:space="preserve"> (Điều 52 Hiến pháp). </w:t>
      </w:r>
    </w:p>
    <w:p w14:paraId="49EA7FE0" w14:textId="77777777" w:rsidR="00A97C72"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893D79">
        <w:rPr>
          <w:noProof/>
          <w:color w:val="000000" w:themeColor="text1"/>
          <w:spacing w:val="-2"/>
          <w:sz w:val="26"/>
          <w:szCs w:val="26"/>
          <w:lang w:val="vi-VN"/>
        </w:rPr>
        <w:t xml:space="preserve">Đồng thời, Hiến pháp quy định quyền con người, quyền công dân chỉ có thể bị hạn chế theo quy định của luật trong trường hợp cần thiết vì lý do quốc phòng, an ninh quốc gia, trật tự, an toàn xã hội, đạo đức xã hội, sức khỏe của cộng đồng (Khoản 2 Điều 14 Hiến pháp). </w:t>
      </w:r>
    </w:p>
    <w:p w14:paraId="443889A5"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Giải pháp sửa đổi, bổ sung trực tiếp các quy định về hành vi bị nghiêm cấm có liên quan đến cạnh tranh, hành vi lạm dụng vị trí thống lĩnh, vị trí độc quyền và hành vi cạnh tranh không lành mạnh, đồng thời hoàn thiện cách tiếp cận xác định thị trường liên quan và tiêu chí đánh giá sức mạnh thị trường trong bối cảnh kinh tế số, về cơ bản phù hợp với các nguyên tắc hiến định về bảo đảm môi trường cạnh tranh lành mạnh, bảo vệ quyền tự do kinh doanh theo pháp luật và bảo vệ quyền, lợi ích hợp pháp của người tiêu dùng. Việc làm rõ các chuẩn mực hành vi bị cấm không làm phát sinh hạn chế mới đối với quyền tự do kinh doanh ngoài khuôn khổ cần thiết, mà hướng tới thiết lập “luật chơi” minh bạch, bình đẳng giữa các chủ thể trên thị trường, qua đó góp phần hiện thực hóa yêu cầu của Hiến pháp về quản lý, điều tiết nền kinh tế thị trường định hướng xã hội chủ </w:t>
      </w:r>
      <w:r w:rsidRPr="00ED5E38">
        <w:rPr>
          <w:noProof/>
          <w:color w:val="000000" w:themeColor="text1"/>
          <w:sz w:val="26"/>
          <w:szCs w:val="26"/>
          <w:lang w:val="vi-VN"/>
        </w:rPr>
        <w:lastRenderedPageBreak/>
        <w:t xml:space="preserve">nghĩa, bảo đảm cạnh tranh công bằng và ngăn ngừa các hành vi lạm dụng sức mạnh thị trường gây phương hại đến lợi ích công cộng, đặc biệt là thể hiện vai trò điều tiết hợp hiến của Nhà nước trong việc kiểm soát hành vi lạm dụng vị trí thống lĩnh thị trường, hành vi cạnh tranh không lành mạnh mới phát sinh trong bối cảnh kinh tế số, bảo đảm quyền tự do kinh doanh được thực hiện trong khuôn khổ cạnh tranh công bằng và lành mạnh. </w:t>
      </w:r>
    </w:p>
    <w:p w14:paraId="48054D8B"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tính hợp pháp, tính thống nhất với hệ thống pháp luật:</w:t>
      </w:r>
    </w:p>
    <w:p w14:paraId="0E7C95BB"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Các nội dung sửa đổi, bổ sung Luật Cạnh tranh góp phần hoàn thiện các quy định hiện hành của Luật Cạnh tranh và tăng cường sự đồng bộ, thống nhất với các luật có liên quan trong hệ thống pháp luật. </w:t>
      </w:r>
    </w:p>
    <w:p w14:paraId="5C88DE4E"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bổ sung quy định về hành vi “giúp sức” của tổ chức, cá nhân liên quan để thực hiện hành vi hạn chế cạnh tranh, cạnh tranh không lành mạnh bảo đảm tính hợp pháp và tính thống nhất với hệ thống pháp luật hiện hành, đồng thời góp phần hoàn thiện cơ chế xử lý toàn diện các hành vi phản cạnh tranh. Cách tiếp cận này phù hợp với nguyên tắc chung của pháp luật Việt Nam trong việc xác định trách nhiệm pháp lý không chỉ đối với chủ thể trực tiếp thực hiện hành vi vi phạm mà còn đối với các chủ thể có hành vi hỗ trợ, giúp sức, tổ chức hoặc tạo điều kiện thuận lợi cho hành vi vi phạm xảy ra, như đã được ghi nhận trong pháp luật về hình sự, pháp luật về xử lý vi phạm hành chính và một số lĩnh vực pháp luật chuyên ngành khác. Việc mở rộng phạm vi điều chỉnh theo hướng này không làm thay đổi bản chất của các hành vi bị cấm theo Luật Cạnh tranh, mà chỉ làm rõ hơn các dạng thức tham gia vào hành vi vi phạm trong thực tiễn, qua đó khắc phục khoảng trống pháp lý trong trường hợp hành vi hạn chế cạnh tranh hoặc cạnh tranh không lành mạnh được thực hiện thông qua sự cấu kết, hỗ trợ của nhiều chủ thể khác nhau. Đồng thời, quy định này bảo đảm sự thống nhất nội tại của Luật Cạnh tranh, khi trách nhiệm pháp lý được thiết kế phù hợp với tính chất phức tạp, liên kết và gián tiếp của các hành vi phản cạnh tranh hiện đại, đặc biệt trong bối cảnh kinh tế số và chuỗi giá trị đa tầng. Trên cơ sở đó, việc bổ sung hành vi “giúp sức” không gây chồng chéo hay mâu thuẫn với các luật chuyên ngành khác, mà có tính bổ trợ, hỗ trợ cho việc thực thi hiệu quả pháp luật cạnh tranh, bảo đảm nguyên tắc công bằng, minh bạch và hiệu lực răn đe của hệ thống pháp luật nói chung.</w:t>
      </w:r>
    </w:p>
    <w:p w14:paraId="09C53918"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Việc quy định các nguyên tắc cơ bản về xác định thị trường liên quan, thị phần và sức mạnh thị trường đáng kể trong Luật, đồng thời giao Chính phủ quy định chi tiết tiêu chí, phương pháp và cách thức áp dụng, phù hợp với yêu cầu của kỹ thuật lập pháp hiện đại, bảo đảm sự phân định hợp lý giữa quy định mang tính ổn định của luật và các quy định có tính linh hoạt trong văn bản dưới luật. Cách tiếp cận này cũng phù hợp với định hướng đổi mới công tác xây dựng và thi hành pháp luật được nêu tại Nghị quyết số 66-NQ/TW, theo đó nhấn mạnh yêu cầu xây dựng pháp luật theo hướng ổn định, minh bạch, khả thi, bảo đảm tính hệ thống, đồng bộ và hạn chế tình trạng luật quy định quá chi tiết, cứng nhắc, khó thích ứng với sự vận động nhanh của thực tiễn. Đối với việc mở rộng phạm vi điều chỉnh đối với các chủ thể không trực tiếp thực hiện hành vi vi phạm nhưng có vai trò tổ chức, vận động, giúp sức hoặc tạo điều kiện cho hành vi hạn chế </w:t>
      </w:r>
      <w:r w:rsidRPr="00ED5E38">
        <w:rPr>
          <w:noProof/>
          <w:color w:val="000000" w:themeColor="text1"/>
          <w:sz w:val="26"/>
          <w:szCs w:val="26"/>
          <w:lang w:val="vi-VN"/>
        </w:rPr>
        <w:lastRenderedPageBreak/>
        <w:t xml:space="preserve">cạnh tranh hoặc cạnh tranh không lành mạnh, cách tiếp cận này về bản chất phù hợp với kinh nghiệm quốc tế trong xử lý các hành vi phản cạnh tranh mang tính cấu kết hoặc hỗ trợ, nơi trách nhiệm pháp lý không chỉ đặt lên chủ thể thực hiện trực tiếp hành vi mà còn áp dụng đối với các chủ thể có vai trò thúc đẩy hoặc duy trì hành vi vi phạm. </w:t>
      </w:r>
    </w:p>
    <w:p w14:paraId="6E2C10A1"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bổ sung quy định về các hành vi lạm dụng vị trí thống lĩnh thị trường của nền tảng số trong Luật Cạnh tranh được xây dựng trên cơ sở bảo đảm tính hợp pháp và tính thống nhất với hệ thống pháp luật hiện hành, thông qua việc phân định rõ phạm vi điều chỉnh giữa pháp luật cạnh tranh và các luật chuyên ngành có liên quan. Theo đó, các hành vi bị cấm chỉ áp dụng đối với nền tảng số đã được xác định có vị trí thống lĩnh thị trường theo quy định của Luật Cạnh tranh, tức là các chủ thể có quyền lực thị trường đủ lớn để có khả năng gây tác động hạn chế cạnh tranh một cách đáng kể.</w:t>
      </w:r>
    </w:p>
    <w:p w14:paraId="2B86D232"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Các nền tảng số quy mô lớn hiện nay không chỉ chịu sự điều chỉnh của pháp luật cạnh tranh mà còn đồng thời nằm trong phạm vi điều chỉnh của nhiều luật chuyên ngành như Luật Chuyển đổi số, Luật Thương mại điện tử và Luật Bảo vệ quyền lợi người tiêu dùng. Các đạo luật này điều chỉnh những khía cạnh khác nhau của hoạt động nền tảng số, từ hạ tầng, công nghệ, phương thức giao dịch, nghĩa vụ minh bạch thông tin đến bảo vệ quyền và lợi ích hợp pháp của người tiêu dùng trong môi trường số. Trên cơ sở đó, việc sửa đổi, bổ sung các quy định về hành vi lạm dụng vị trí thống lĩnh thị trường của nền tảng số trong Luật Cạnh tranh được thiết kế theo hướng phù hợp, thống nhất và không trùng lắp, chồng chéo với các quy định của pháp luật chuyên ngành.</w:t>
      </w:r>
    </w:p>
    <w:p w14:paraId="6E3A9C9B"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Cụ thể, so với Luật Chuyển đổi số, các quy định sửa đổi, bổ sung của Luật Cạnh tranh không điều chỉnh các vấn đề liên quan đến chiến lược phát triển hạ tầng số, công nghệ số, dữ liệu quốc gia, an toàn, an ninh mạng hay quản lý nhà nước về chuyển đổi số. Pháp luật cạnh tranh chỉ tập trung vào việc kiểm soát hành vi của nền tảng số trong quan hệ cạnh tranh trên thị trường, khi các chủ thể này đã được xác định có vị trí thống lĩnh theo các tiêu chí của Luật Cạnh tranh. Do đó, phạm vi điều chỉnh của Luật Cạnh tranh có tính độc lập, bổ trợ và không trùng lặp với các quy định mang tính quản lý, phát triển và thúc đẩy chuyển đổi số của pháp luật chuyên ngành.</w:t>
      </w:r>
    </w:p>
    <w:p w14:paraId="5996DB58"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Đối với Luật Thương mại điện tử, pháp luật thương mại điện tử chủ yếu điều chỉnh điều kiện kinh doanh, nghĩa vụ công bố thông tin, trách nhiệm của chủ thể cung cấp nền tảng, cũng như cơ chế bảo đảm tính minh bạch và an toàn trong hoạt động giao dịch điện tử. Trong khi đó, các quy định sửa đổi, bổ sung của Luật Cạnh tranh không điều chỉnh việc tổ chức, vận hành hay quản lý hoạt động thương mại điện tử nói chung, mà chỉ áp dụng đối với các nền tảng số có vị trí thống lĩnh thị trường nhằm kiểm soát các hành vi lạm dụng quyền lực thị trường có khả năng gây hạn chế cạnh tranh. Cách tiếp cận này bảo đảm sự phân định rõ ràng giữa pháp luật cạnh tranh và pháp luật thương mại điện tử, tránh tình trạng điều chỉnh trùng lặp cùng một quan hệ pháp luật.</w:t>
      </w:r>
    </w:p>
    <w:p w14:paraId="0B69B4AF"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Đối với Luật Bảo vệ quyền lợi người tiêu dùng, các quy định của pháp luật tập trung điều chỉnh quan hệ giữa doanh nghiệp và người tiêu dùng, thông qua việc bảo đảm quyền được thông tin, quyền lựa chọn, quyền an toàn và quyền khiếu nại của người tiêu dùng. Các quy định sửa đổi, bổ sung của Luật Cạnh tranh không thay thế và không trùng </w:t>
      </w:r>
      <w:r w:rsidRPr="00ED5E38">
        <w:rPr>
          <w:noProof/>
          <w:color w:val="000000" w:themeColor="text1"/>
          <w:sz w:val="26"/>
          <w:szCs w:val="26"/>
          <w:lang w:val="vi-VN"/>
        </w:rPr>
        <w:lastRenderedPageBreak/>
        <w:t>lặp với các cơ chế bảo vệ người tiêu dùng, mà chỉ gián tiếp hỗ trợ mục tiêu này thông qua việc duy trì môi trường cạnh tranh lành mạnh, hạn chế khả năng nền tảng số có vị trí thống lĩnh áp đặt các điều kiện giao dịch bất lợi hoặc làm suy giảm quyền lựa chọn của người tiêu dùng. Do đó, giữa pháp luật cạnh tranh và pháp luật bảo vệ quyền lợi người tiêu dùng tồn tại mối quan hệ bổ trợ, không mâu thuẫn và không chồng chéo.</w:t>
      </w:r>
    </w:p>
    <w:p w14:paraId="71455EC2"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Như vậy, các quy định sửa đổi, bổ sung về hành vi lạm dụng vị trí thống lĩnh thị trường của nền tảng số trong Luật Cạnh tranh được xây dựng trên cơ sở rà soát, đối chiếu toàn diện với các luật chuyên ngành có liên quan. Việc phân định rõ phạm vi, đối tượng và phương thức điều chỉnh không chỉ bảo đảm tính hợp pháp, tính thống nhất của hệ thống pháp luật mà còn góp phần nâng cao hiệu lực, hiệu quả thực thi pháp luật cạnh tranh trong bối cảnh phát triển mạnh mẽ của kinh tế số, đồng thời vẫn tôn trọng và bảo đảm vai trò điều chỉnh đặc thù của các luật chuyên ngành. </w:t>
      </w:r>
    </w:p>
    <w:p w14:paraId="0D5139BB"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Bên cạnh đó, việc bãi bỏ khoản 1 Điều 45 Luật Cạnh tranh do trùng lắp với quy định tại Điều 127 Luật Sở hữu trí tuệ, đồng thời bổ sung các khoản 6a, 6b Điều 45 theo hướng loại trừ các hành vi đã được điều chỉnh bởi pháp luật về sở hữu trí tuệ, góp phần quan trọng trong việc bảo đảm tính thống nhất, đồng bộ của hệ thống pháp luật. Thực tiễn áp dụng cho thấy, việc tồn tại song song các quy định có nội dung tương tự tại Luật Cạnh tranh và Luật Sở hữu trí tuệ dễ dẫn đến chồng chéo thẩm quyền, cách hiểu và áp dụng khác nhau giữa các cơ quan thực thi, làm gia tăng rủi ro pháp lý và chi phí tuân thủ cho doanh nghiệp. Việc rà soát, phân định rõ phạm vi điều chỉnh giữa các đạo luật không chỉ giúp tránh trùng lắp mà còn làm rõ vai trò của Luật Cạnh tranh trong điều chỉnh các hành vi gây méo mó cạnh tranh, đồng thời tôn trọng phạm vi điều chỉnh chuyên biệt của pháp luật sở hữu trí tuệ đối với quyền và hành vi xâm phạm quyền sở hữu trí tuệ.</w:t>
      </w:r>
    </w:p>
    <w:p w14:paraId="00207B27"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Như vậy, việc sửa đổi, bổ sung các quy định nêu trên không chỉ góp phần hoàn thiện Luật Cạnh tranh theo hướng hiện đại, phù hợp với bối cảnh kinh tế số, mà còn tăng cường tính thống nhất, đồng bộ của hệ thống pháp luật, tạo nền tảng pháp lý rõ ràng, minh bạch cho hoạt động của doanh nghiệp nền tảng số và nâng cao hiệu quả quản lý nhà nước về cạnh tranh trong dài hạn.</w:t>
      </w:r>
    </w:p>
    <w:p w14:paraId="79212DD4"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tương thích với các điều ước quốc tế có liên quan mà nước Cộng hòa xã hội chủ nghĩa Việt Nam là thành viên:</w:t>
      </w:r>
    </w:p>
    <w:p w14:paraId="08E813BC" w14:textId="77777777" w:rsidR="00A97C72"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893D79">
        <w:rPr>
          <w:noProof/>
          <w:color w:val="000000" w:themeColor="text1"/>
          <w:spacing w:val="-2"/>
          <w:sz w:val="26"/>
          <w:szCs w:val="26"/>
          <w:lang w:val="vi-VN"/>
        </w:rPr>
        <w:t xml:space="preserve">Qua rà soát các điều ước quốc tế và hiệp định thương mại tự do mà Việt Nam là thành viên có quy định về cạnh tranh, bao gồm Hiệp định Thương mại tự do Việt Nam – Liên minh châu Âu (EVFTA), Hiệp định Đối tác toàn diện và tiến bộ xuyên Thái Bình Dương (CPTPP), Hiệp định Thương mại tự do Việt Nam – Vương quốc Anh (UKVFTA), Hiệp định Đối tác kinh tế toàn diện khu vực (RCEP), Hiệp định Thương mại tự do ASEAN – Australia – New Zealand (AANZFTA) và Hiệp định khung ASEAN về Cạnh tranh, cho thấy không có điều ước quốc tế nào cấm hoặc hạn chế quyền của các quốc gia thành viên trong việc xây dựng, duy trì và hoàn thiện pháp luật cạnh tranh nhằm kiểm soát hành vi lạm dụng vị trí thống lĩnh thị trường, lạm dụng vị trí độc quyền hoặc hành vi cạnh tranh không lành mạnh của doanh nghiệp, bao gồm cả doanh nghiệp hoạt động theo mô hình </w:t>
      </w:r>
      <w:r w:rsidRPr="00893D79">
        <w:rPr>
          <w:noProof/>
          <w:color w:val="000000" w:themeColor="text1"/>
          <w:spacing w:val="-2"/>
          <w:sz w:val="26"/>
          <w:szCs w:val="26"/>
          <w:lang w:val="vi-VN"/>
        </w:rPr>
        <w:lastRenderedPageBreak/>
        <w:t>nền tảng số.</w:t>
      </w:r>
    </w:p>
    <w:p w14:paraId="4A49BC95"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Các cam kết về cạnh tranh trong các hiệp định mà Việt Nam là thành viên đều quy định nguyên tắc các quốc gia thành viên có trách nhiệm duy trì pháp luật cạnh tranh hiệu quả, bảo đảm môi trường cạnh tranh công bằng, minh bạch và không phân biệt đối xử, đồng thời khuyến khích việc áp dụng pháp luật cạnh tranh một cách phù hợp với điều kiện kinh tế, xã hội và thị trường của mỗi quốc gia. Một số hiệp định còn nhấn mạnh nghĩa vụ tăng cường thực thi pháp luật cạnh tranh và hợp tác giữa các cơ quan cạnh tranh, đặc biệt trong bối cảnh các mô hình kinh doanh mới và thị trường xuyên biên giới ngày càng phát triển.</w:t>
      </w:r>
    </w:p>
    <w:p w14:paraId="09D47D32"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sửa đổi, bổ sung các quy định về hành vi lạm dụng vị trí thống lĩnh thị trường, vị trí độc quyền đối với nền tảng số; hoàn thiện cách tiếp cận xác định thị trường liên quan, thị phần và sức mạnh thị trường đáng kể; cũng như bổ sung các hành vi cạnh tranh không lành mạnh bị cấm trong Luật Cạnh tranh nhằm phản ánh đúng bản chất cạnh tranh trong nền kinh tế số là phù hợp với các cam kết nêu trên. Các sửa đổi này không tạo ra rào cản thương mại mới, không phân biệt đối xử giữa doanh nghiệp trong nước và doanh nghiệp nước ngoài, mà hướng tới bảo vệ trật tự cạnh tranh, thúc đẩy cạnh tranh lành mạnh và bảo đảm lợi ích chính đáng của người tiêu dùng.</w:t>
      </w:r>
    </w:p>
    <w:p w14:paraId="60F76ADC" w14:textId="77777777" w:rsidR="002B2018"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Do đó, việc sửa đổi, bổ sung các quy định nêu trên tại Luật Cạnh tranh không những không ảnh hưởng đến tính tương thích với các điều ước quốc tế mà Việt Nam là thành viên, mà còn góp phần thực hiện đầy đủ, thực chất các cam kết quốc tế của Việt Nam về cạnh tranh, đồng thời nâng cao mức độ tin cậy và minh bạch của môi trường pháp lý, đầu tư và kinh doanh trong bối cảnh hội nhập kinh tế quốc tế sâu rộng.</w:t>
      </w:r>
    </w:p>
    <w:p w14:paraId="499031E4" w14:textId="5E8D502E"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Tiêu cực</w:t>
      </w:r>
    </w:p>
    <w:p w14:paraId="3BD6D62A"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Về tính hợp hiến: </w:t>
      </w:r>
    </w:p>
    <w:p w14:paraId="3BE2D709"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Không có tác động tiêu cực về tính hợp hiến, do các quy định sửa đổi, bổ sung đều được thiết kế theo hướng cần thiết, tương xứng với mục tiêu bảo vệ trật tự cạnh tranh và lợi ích công cộng.</w:t>
      </w:r>
    </w:p>
    <w:p w14:paraId="08603C94"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tính hợp pháp, tính thống nhất với hệ thống pháp luật:</w:t>
      </w:r>
    </w:p>
    <w:p w14:paraId="6F00B81A"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Không có tác động tiêu cực về tính hợp pháp, tính thống nhất với hệ thống pháp luật. Việc sửa đổi, bổ sung các quy định trong Luật Cạnh tranh đòi hỏi rà soát, sửa đổi các văn bản hướng dẫn thi hành và một số quy định liên quan tại pháp luật chuyên ngành để bảo đảm tính đồng bộ, thống nhất trong áp dụng pháp luật.</w:t>
      </w:r>
    </w:p>
    <w:p w14:paraId="09A3C272"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Về tính tương thích với các điều ước quốc tế có liên quan mà nước Cộng hòa xã hội chủ nghĩa Việt Nam là thành viên:</w:t>
      </w:r>
    </w:p>
    <w:p w14:paraId="444A5773" w14:textId="77777777" w:rsidR="002B2018"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Không có tác động tiêu cực về tính tương thích với các điều ước quốc tế có liên quan mà nước Cộng hòa xã hội chủ nghĩa Việt Nam là thành viên.</w:t>
      </w:r>
    </w:p>
    <w:p w14:paraId="18DF5B16" w14:textId="57647C93" w:rsidR="00A97C72" w:rsidRPr="00ED5E38" w:rsidRDefault="002B2018"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w:t>
      </w:r>
      <w:r w:rsidR="00A97C72" w:rsidRPr="00ED5E38">
        <w:rPr>
          <w:b/>
          <w:bCs/>
          <w:i/>
          <w:iCs/>
          <w:noProof/>
          <w:color w:val="000000" w:themeColor="text1"/>
          <w:sz w:val="26"/>
          <w:szCs w:val="26"/>
          <w:lang w:val="vi-VN"/>
        </w:rPr>
        <w:t xml:space="preserve">Tác động về kinh tế - xã hội: </w:t>
      </w:r>
    </w:p>
    <w:p w14:paraId="1E075DB9" w14:textId="77777777" w:rsidR="002B2018"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Đối với Giải pháp 1, các tác động về kinh tế, xã hội chủ yếu phát sinh đối với </w:t>
      </w:r>
      <w:r w:rsidRPr="00ED5E38">
        <w:rPr>
          <w:noProof/>
          <w:color w:val="000000" w:themeColor="text1"/>
          <w:sz w:val="26"/>
          <w:szCs w:val="26"/>
          <w:lang w:val="vi-VN"/>
        </w:rPr>
        <w:lastRenderedPageBreak/>
        <w:t>hoạt động sản xuất, kinh doanh của doanh nghiệp và sự vận hành chung của thị trường trong bối cảnh kinh tế số và chuyển đổi số đang diễn ra nhanh, sâu rộng. Do đó, nội dung đánh giá tập trung làm rõ tác động của Giải pháp 1 đối với các yếu tố có liên quan trực tiếp đến điều kiện đầu tư, kinh doanh; khả năng gia nhập và tiếp cận thị trường; mức độ cạnh tranh và cấu trúc thị trường; chi phí và rủi ro pháp lý trong hoạt động kinh doanh; đồng thời xem xét các tác động lan tỏa đối với người tiêu dùng và môi trường phát triển bền vững của nền kinh tế số.</w:t>
      </w:r>
    </w:p>
    <w:p w14:paraId="2392150B" w14:textId="6E49E44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Tích cực:</w:t>
      </w:r>
    </w:p>
    <w:p w14:paraId="363E0111" w14:textId="77777777" w:rsidR="00A97C72" w:rsidRPr="00ED5E38"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 Đối với Nhà nước:</w:t>
      </w:r>
    </w:p>
    <w:p w14:paraId="3DA64728"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Việc sửa đổi, bổ sung Luật Cạnh tranh theo hướng hoàn thiện đồng thời các quy định về hành vi lạm dụng vị trí thống lĩnh thị trường và hành vi cạnh tranh không lành mạnh góp phần nâng cao hiệu quả quản lý nhà nước về cạnh tranh, thông qua việc hoàn thiện trực tiếp khuôn khổ pháp lý điều chỉnh các hành vi gây phương hại đến môi trường cạnh tranh lành mạnh trong bối cảnh kinh tế số và thương mại điện tử phát triển nhanh.</w:t>
      </w:r>
    </w:p>
    <w:p w14:paraId="019D70D0" w14:textId="77777777" w:rsidR="00893D79" w:rsidRPr="00966A0D"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966A0D">
        <w:rPr>
          <w:noProof/>
          <w:color w:val="000000" w:themeColor="text1"/>
          <w:spacing w:val="-2"/>
          <w:sz w:val="26"/>
          <w:szCs w:val="26"/>
          <w:lang w:val="vi-VN"/>
        </w:rPr>
        <w:t>Đối với nhóm hành vi lạm dụng vị trí thống lĩnh thị trường của nền tảng số, việc bổ sung và làm rõ các hành vi mang tính đặc thù như tự ưu tiên sản phẩm, dịch vụ; áp đặt điều kiện giao dịch bất lợi; hạn chế khả năng chuyển đổi, tiếp cận nền tảng thay thế; khóa chặt đối tác kinh doanh; hoặc kiểm soát dữ liệu theo hướng loại trừ cạnh tranh giúp cơ quan quản lý có căn cứ pháp lý trực tiếp, cụ thể để phát hiện, điều tra và xử lý các hành vi vi phạm trong thực tiễn, thay vì phải suy diễn rộng từ các quy định mang tính nguyên tắc chung.</w:t>
      </w:r>
    </w:p>
    <w:p w14:paraId="289894E5"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Song song với đó, việc bổ sung khoản 6a và khoản 6b Điều 45 về hành vi cạnh tranh không lành mạnh góp phần khắc phục những khoảng trống pháp lý đã bộc lộ trong thực tiễn, đặc biệt là các hành vi cản trở hoạt động kinh doanh hợp pháp thông qua cơ chế “giấy phép bán hàng”, “chấp thuận giao dịch” hoặc việc sử dụng chỉ dẫn thương mại gây nhầm lẫn trong môi trường số. Các quy định này tạo cơ sở pháp lý rõ ràng để xử lý các hành vi cạnh tranh không lành mạnh vốn khó điều chỉnh hiệu quả bằng các công cụ pháp luật chuyên ngành khác.</w:t>
      </w:r>
    </w:p>
    <w:p w14:paraId="03442516"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Cách tiếp cận sửa đổi trực tiếp trong Luật Cạnh tranh phù hợp với xu hướng hoàn thiện pháp luật cạnh tranh của nhiều quốc gia và khu vực trên thế giới. Thực tiễn tại Liên minh châu Âu cho thấy, bên cạnh việc áp dụng các quy định chung về lạm dụng vị trí thống lĩnh, EU đã luật hóa trực tiếp các hành vi đặc thù của nền tảng số thông qua Đạo luật Thị trường số (DMA), xuất phát từ thực tiễn xử lý các vụ việc lớn như Google Shopping hay Amazon Marketplace. Kinh nghiệm này cho thấy việc quy định rõ hành vi bị cấm ngay trong luật giúp giảm chi phí thực thi, nâng cao tính minh bạch và khả năng dự báo của chính sách cạnh tranh.</w:t>
      </w:r>
    </w:p>
    <w:p w14:paraId="6479C1E9"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 xml:space="preserve">Việc hoàn thiện, bổ sung trực tiếp các quy định về hành vi hạn chế cạnh tranh và cạnh tranh không lành mạnh trong Luật Cạnh tranh góp phần bảo đảm áp dụng thống nhất pháp luật, giảm nguy cơ phát sinh cách hiểu và áp dụng khác nhau trong quá trình thực thi, qua đó hạn chế tranh chấp, khiếu nại và củng cố niềm tin của nhà đầu tư đối </w:t>
      </w:r>
      <w:r w:rsidRPr="00ED5E38">
        <w:rPr>
          <w:noProof/>
          <w:color w:val="000000" w:themeColor="text1"/>
          <w:sz w:val="26"/>
          <w:szCs w:val="26"/>
          <w:lang w:val="vi-VN"/>
        </w:rPr>
        <w:lastRenderedPageBreak/>
        <w:t>với môi trường cạnh tranh tại Việt Nam trong bối cảnh hội nhập kinh tế quốc tế sâu rộng và chuyển đổi số.</w:t>
      </w:r>
    </w:p>
    <w:p w14:paraId="7EB2107F"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i/>
          <w:noProof/>
          <w:color w:val="000000" w:themeColor="text1"/>
          <w:sz w:val="26"/>
          <w:szCs w:val="26"/>
          <w:lang w:val="vi-VN"/>
        </w:rPr>
        <w:t>+ Đối với doanh nghiệp:</w:t>
      </w:r>
    </w:p>
    <w:p w14:paraId="60350963"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Giải pháp 1 mang lại tác động tích cực rõ rệt đối với các doanh nghiệp nhỏ và vừa, doanh nghiệp khởi nghiệp, doanh nghiệp đổi mới sáng tạo và các chủ thể kinh doanh phụ thuộc vào nền tảng số để tiếp cận thị trường. Trong bối cảnh thị trường thương mại điện tử Việt Nam có xu hướng tập trung ngày càng cao, việc kiểm soát hiệu quả các hành vi lạm dụng sức mạnh thị trường của nền tảng số có ý nghĩa quan trọng trong việc bảo đảm khả năng tiếp cận thị trường công bằng cho các chủ thể kinh doanh.</w:t>
      </w:r>
    </w:p>
    <w:p w14:paraId="3565B59A"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Số liệu thực tiễn cho thấy thị trường thương mại điện tử Việt Nam đang phát triển rất nhanh nhưng đồng thời có mức độ tập trung thị phần cao. Năm 2025, tổng doanh thu thương mại điện tử ước đạt khoảng 429,7 nghìn tỷ đồng (tương đương khoảng 16 tỷ USD), tăng gần 35% so với năm trước; trong đó hai nền tảng lớn là Shopee và TikTok Shop chiếm tới khoảng 97% tổng thị phần, phần còn lại thuộc về các nền tảng khác như Lazada và Tiki. Riêng Shopee duy trì thị phần khoảng 56%, trong khi TikTok Shop tăng trưởng rất nhanh và chiếm gần 41% thị phần, cho thấy quyền lực thị trường tập trung vào một số ít nền tảng số rất lớn.</w:t>
      </w:r>
    </w:p>
    <w:p w14:paraId="4AA5AB60"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bối cảnh đó, nếu không có khung pháp lý đủ rõ để kiểm soát các hành vi như tự ưu tiên, phân biệt đối xử, áp đặt điều kiện giao dịch bất lợi hoặc hạn chế quyền tiếp cận dữ liệu, các doanh nghiệp nhỏ và vừa có nguy cơ bị loại trừ khỏi thị trường hoặc bị đặt vào vị thế bất lợi mang tính cấu trúc, làm suy giảm động lực cạnh tranh và đổi mới sáng tạo. Thực tế ghi nhận trong quý I/2025 đã có hơn 38.000 cửa hàng trực tuyến rút khỏi thị trường, phản ánh áp lực cạnh tranh rất lớn đối với các chủ thể kinh doanh nhỏ nếu môi trường cạnh tranh thiếu cân bằng.</w:t>
      </w:r>
    </w:p>
    <w:p w14:paraId="3615C9F4" w14:textId="77777777" w:rsidR="00893D79" w:rsidRPr="00893D79" w:rsidRDefault="00A97C72" w:rsidP="00966A0D">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Bên cạnh đó, các quy định bổ sung về hành vi cạnh tranh không lành mạnh gồm hành vi cản trở hoạt động kinh doanh thông qua cơ chế cấp rút giấy phép bán hàng hoặc sử dụng chỉ dẫn thương mại gây nhầm lẫn, góp phần bảo vệ doanh nghiệp trước các hành vi cạnh tranh  trái với nguyên tắc thiện chí, trung thực, tập quán thương mại và các chuẩn mực khác trong kinh doanh, gây thiệt hại hoặc có thể gây thiệt hại đến quyền và lợi ích hợp pháp của doanh nghiệp khác. Các quy định bổ sung này có ý nghĩa đặc biệt đối với các doanh nghiệp vừa và nhỏ, vốn dễ bị tổn thương trước các hành vi gây cản trở hoặc gây nhầm lẫn trên thị trường.</w:t>
      </w:r>
    </w:p>
    <w:p w14:paraId="5E908284"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 xml:space="preserve">Việc xác lập các nguyên tắc pháp lý rõ ràng về hành vi bị cấm giúp doanh nghiệp giảm rủi ro pháp lý và chi phí tuân thủ không chắc chắn trong dài hạn, đồng thời tạo điều kiện thuận lợi cho việc xây dựng và triển khai các chiến lược đầu tư, phát triển sản phẩm, dịch vụ và mở rộng quy mô kinh doanh. Đối với các doanh nghiệp nền tảng số có sức mạnh thị trường đáng kể, các quy định sửa đổi, bổ sung của Luật Cạnh tranh còn góp phần xác lập ranh giới pháp lý rõ ràng, qua đó giúp doanh nghiệp chủ động rà soát, điều chỉnh mô hình kinh doanh, thuật toán, điều khoản giao dịch và cơ chế quản trị dữ liệu theo hướng tuân thủ pháp luật, nâng cao tính bền vững, ổn định và khả năng dự báo </w:t>
      </w:r>
      <w:r w:rsidRPr="00ED5E38">
        <w:rPr>
          <w:noProof/>
          <w:color w:val="000000" w:themeColor="text1"/>
          <w:sz w:val="26"/>
          <w:szCs w:val="26"/>
          <w:lang w:val="vi-VN"/>
        </w:rPr>
        <w:lastRenderedPageBreak/>
        <w:t>của hoạt động kinh doanh.</w:t>
      </w:r>
    </w:p>
    <w:p w14:paraId="574673C0"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 xml:space="preserve">+ </w:t>
      </w:r>
      <w:r w:rsidRPr="00ED5E38">
        <w:rPr>
          <w:i/>
          <w:noProof/>
          <w:color w:val="000000" w:themeColor="text1"/>
          <w:sz w:val="26"/>
          <w:szCs w:val="26"/>
          <w:lang w:val="vi-VN"/>
        </w:rPr>
        <w:t>Đối với tổ chức, cá nhân và người tiêu dùng</w:t>
      </w:r>
      <w:r w:rsidRPr="00ED5E38">
        <w:rPr>
          <w:noProof/>
          <w:color w:val="000000" w:themeColor="text1"/>
          <w:sz w:val="26"/>
          <w:szCs w:val="26"/>
          <w:lang w:val="vi-VN"/>
        </w:rPr>
        <w:t>:</w:t>
      </w:r>
    </w:p>
    <w:p w14:paraId="586AFACF"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Giải pháp 1 góp phần tạo lập môi trường cạnh tranh lành mạnh, minh bạch hơn, qua đó mang lại lợi ích gián tiếp nhưng lâu dài cho người tiêu dùng. Khi các hành vi tự ưu tiên, khóa chặt người dùng, hạn chế quyền lựa chọn hoặc kiểm soát dữ liệu mang tính loại trừ bị kiểm soát hiệu quả, người tiêu dùng có điều kiện tiếp cận đa dạng hơn các hàng hóa, dịch vụ với chất lượng tốt hơn, giá cả hợp lý hơn và mức độ đổi mới sáng tạo cao hơn.</w:t>
      </w:r>
    </w:p>
    <w:p w14:paraId="37783C75"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Đối với các tổ chức, cá nhân kinh doanh trên nền tảng số, đặc biệt là các hộ kinh doanh và cá nhân bán hàng trực tuyến, nhóm chủ thể chiếm số lượng rất lớn trong nền kinh tế số, việc bảo đảm quyền tiếp cận thị trường công bằng, quyền lựa chọn đa nền tảng và quyền tiếp cận dữ liệu phát sinh từ hoạt động kinh doanh hợp pháp giúp giảm mức độ phụ thuộc mang tính cấu trúc vào một nền tảng chi phối, qua đó nâng cao khả năng tồn tại và phát triển bền vững.</w:t>
      </w:r>
    </w:p>
    <w:p w14:paraId="1FA85C66"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Bên cạnh đó, việc bổ sung các quy định về hành vi cạnh tranh không lành mạnh bị cấm trong Luật Cạnh tranh cũng mang lại tác động tích cực đối với tổ chức, cá nhân kinh doanh và người tiêu dùng. Đối với các tổ chức, cá nhân kinh doanh trên nền tảng số, đặc biệt là các hộ kinh doanh và cá nhân bán hàng trực tuyến – nhóm chủ thể chiếm số lượng lớn trong nền kinh tế số – các quy định về cấm cản trở hoạt động kinh doanh hợp pháp thông qua việc không cấp, rút hoặc áp đặt điều kiện bất hợp lý đối với giấy phép bán hàng, cũng như cấm sử dụng chỉ dẫn thương mại gây nhầm lẫn, góp phần bảo vệ quyền và lợi ích hợp pháp của các chủ thể kinh doanh trước các hành vi cạnh tranh phi thị trường, mang tính loại trừ hoặc gây nhiễu loạn thị trường.</w:t>
      </w:r>
    </w:p>
    <w:p w14:paraId="382788CD"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Đối với người tiêu dùng, việc kiểm soát hiệu quả các hành vi cạnh tranh không lành mạnh nêu trên góp phần nâng cao tính minh bạch của thị trường, hạn chế nguy cơ bị gây nhầm lẫn về chủ thể kinh doanh, nguồn gốc thương mại của hàng hóa, dịch vụ, qua đó củng cố niềm tin của người tiêu dùng, bảo đảm quyền được thông tin đầy đủ, chính xác và tạo điều kiện cho việc lựa chọn hàng hóa, dịch vụ trên cơ sở cạnh tranh lành mạnh.</w:t>
      </w:r>
    </w:p>
    <w:p w14:paraId="20298A0A"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Tiêu cực:</w:t>
      </w:r>
    </w:p>
    <w:p w14:paraId="547ED197"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Bên cạnh các tác động tích cực, Giải pháp 1 cũng có thể phát sinh một số tác động tiêu cực nhất định, chủ yếu trong giai đoạn đầu triển khai thực hiện.</w:t>
      </w:r>
    </w:p>
    <w:p w14:paraId="30563313"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i/>
          <w:noProof/>
          <w:color w:val="000000" w:themeColor="text1"/>
          <w:sz w:val="26"/>
          <w:szCs w:val="26"/>
          <w:lang w:val="vi-VN"/>
        </w:rPr>
        <w:t>+ Đối với Nhà nước:</w:t>
      </w:r>
    </w:p>
    <w:p w14:paraId="79755B40"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 xml:space="preserve">Việc sửa đổi, bổ sung trực tiếp các quy định của Luật Cạnh tranh theo hướng tiếp cận mới đối với thị trường số và nền tảng số đòi hỏi phải đầu tư nguồn lực nhất định cho công tác tổ chức thực thi, bao gồm đào tạo, bồi dưỡng và nâng cao năng lực chuyên môn cho đội ngũ cán bộ thực thi pháp luật cạnh tranh, đặc biệt trong các lĩnh vực liên quan đến dữ liệu, thuật toán và phân tích thị trường đa chiều. Trong giai đoạn đầu triển khai, chi phí thực thi và yêu cầu về chuyên môn có thể gia tăng, nhất là khi số lượng vụ việc </w:t>
      </w:r>
      <w:r w:rsidRPr="00ED5E38">
        <w:rPr>
          <w:noProof/>
          <w:color w:val="000000" w:themeColor="text1"/>
          <w:sz w:val="26"/>
          <w:szCs w:val="26"/>
          <w:lang w:val="vi-VN"/>
        </w:rPr>
        <w:lastRenderedPageBreak/>
        <w:t>liên quan đến nền tảng số có xu hướng tăng.</w:t>
      </w:r>
    </w:p>
    <w:p w14:paraId="26DF172F"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i/>
          <w:noProof/>
          <w:color w:val="000000" w:themeColor="text1"/>
          <w:sz w:val="26"/>
          <w:szCs w:val="26"/>
          <w:lang w:val="vi-VN"/>
        </w:rPr>
        <w:t>+ Đối với doanh nghiệp:</w:t>
      </w:r>
    </w:p>
    <w:p w14:paraId="2C506402"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Đối với các doanh nghiệp, đặc biệt là các nền tảng số có sức mạnh thị trường đáng kể, Giải pháp 1 có thể làm gia tăng chi phí tuân thủ trong ngắn hạn do phải rà soát, điều chỉnh mô hình kinh doanh, hệ thống kỹ thuật, thuật toán và điều khoản giao dịch để phù hợp với các quy định mới của Luật Cạnh tranh. Trong giai đoạn đầu áp dụng, khi các quy định cần được hướng dẫn, giải thích và áp dụng thống nhất, doanh nghiệp có thể đối mặt với rủi ro pháp lý và chi phí tuân thủ chưa ổn định.</w:t>
      </w:r>
    </w:p>
    <w:p w14:paraId="549E38B2" w14:textId="77777777" w:rsid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i/>
          <w:noProof/>
          <w:color w:val="000000" w:themeColor="text1"/>
          <w:sz w:val="26"/>
          <w:szCs w:val="26"/>
          <w:lang w:val="vi-VN"/>
        </w:rPr>
        <w:t>+ Đối với tổ chức, cá nhân sử dụng nền tảng:</w:t>
      </w:r>
    </w:p>
    <w:p w14:paraId="3FA7A709" w14:textId="77777777" w:rsidR="00893D79" w:rsidRPr="00893D79" w:rsidRDefault="00A97C72"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Một phần chi phí tuân thủ gia tăng của doanh nghiệp nền tảng có thể được chuyển dịch sang các tổ chức, cá nhân kinh doanh hoặc người tiêu dùng thông qua việc điều chỉnh mức phí dịch vụ, hoa hồng hoặc các chi phí liên quan khác. Tuy nhiên, các tác động tiêu cực này chủ yếu mang tính ngắn hạn và có thể được bù đắp bởi các lợi ích dài hạn từ việc hình thành một môi trường cạnh tranh công bằng, minh bạch và bền vững hơn trong nền kinh tế số.</w:t>
      </w:r>
    </w:p>
    <w:p w14:paraId="409706C2" w14:textId="77777777" w:rsidR="00893D79" w:rsidRDefault="00893D79"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893D79">
        <w:rPr>
          <w:noProof/>
          <w:color w:val="000000" w:themeColor="text1"/>
          <w:sz w:val="26"/>
          <w:szCs w:val="26"/>
          <w:lang w:val="vi-VN"/>
        </w:rPr>
        <w:t xml:space="preserve">- </w:t>
      </w:r>
      <w:r w:rsidR="00A97C72" w:rsidRPr="00ED5E38">
        <w:rPr>
          <w:b/>
          <w:bCs/>
          <w:i/>
          <w:iCs/>
          <w:noProof/>
          <w:color w:val="000000" w:themeColor="text1"/>
          <w:sz w:val="26"/>
          <w:szCs w:val="26"/>
          <w:lang w:val="vi-VN"/>
        </w:rPr>
        <w:t xml:space="preserve">Tác động về giới: </w:t>
      </w:r>
      <w:r w:rsidR="00A97C72" w:rsidRPr="00ED5E38">
        <w:rPr>
          <w:noProof/>
          <w:color w:val="000000" w:themeColor="text1"/>
          <w:sz w:val="26"/>
          <w:szCs w:val="26"/>
          <w:lang w:val="vi-VN"/>
        </w:rPr>
        <w:t>Chính sách không tạo ra sự phân biệt đối xử về giới, không đặt ra quy định riêng đối với nam hoặc nữ, tác động của chính sách là trung tính về giới.</w:t>
      </w:r>
    </w:p>
    <w:p w14:paraId="30320B7B" w14:textId="77777777" w:rsidR="00F10684" w:rsidRDefault="00F10684"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893D79">
        <w:rPr>
          <w:noProof/>
          <w:color w:val="000000" w:themeColor="text1"/>
          <w:sz w:val="26"/>
          <w:szCs w:val="26"/>
          <w:lang w:val="vi-VN"/>
        </w:rPr>
        <w:t xml:space="preserve">- </w:t>
      </w:r>
      <w:r w:rsidRPr="00ED5E38">
        <w:rPr>
          <w:b/>
          <w:bCs/>
          <w:i/>
          <w:iCs/>
          <w:noProof/>
          <w:color w:val="000000" w:themeColor="text1"/>
          <w:sz w:val="26"/>
          <w:szCs w:val="26"/>
          <w:lang w:val="vi-VN"/>
        </w:rPr>
        <w:t xml:space="preserve">Tác động về thủ tục hành chính: </w:t>
      </w:r>
      <w:r w:rsidRPr="00ED5E38">
        <w:rPr>
          <w:noProof/>
          <w:color w:val="000000" w:themeColor="text1"/>
          <w:sz w:val="26"/>
          <w:szCs w:val="26"/>
          <w:lang w:val="vi-VN"/>
        </w:rPr>
        <w:t>Không có</w:t>
      </w:r>
    </w:p>
    <w:p w14:paraId="420C4D4C" w14:textId="4FB6BB08" w:rsidR="00F10684" w:rsidRPr="00F10684" w:rsidRDefault="00F10684"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b/>
          <w:bCs/>
          <w:i/>
          <w:iCs/>
          <w:noProof/>
          <w:color w:val="000000" w:themeColor="text1"/>
          <w:sz w:val="26"/>
          <w:szCs w:val="26"/>
          <w:lang w:val="vi-VN"/>
        </w:rPr>
        <w:t>b) Giải pháp 2: Quy định nguyên tắc chung về hành vi cạnh tranh không lành mạnh khác bị cấm và tiêu chí xác định thị trường, thị phần trong Luật Cạnh tranh, đồng thời giao Chính phủ quy định chi tiết nhằm bảo đảm tính linh hoạt, khả năng thích ứng với sự phát triển nhanh của thị trường và mô hình kinh doanh mới; bổ sung hành vi giúp sức của tổ chức, cá nhân liên quan để thực hiện hành vi hạn chế cạnh tranh, cạnh tranh không lành mạnh, quy định cơ chế “tiền kiểm” đối với các nền tảng số quy mô</w:t>
      </w:r>
    </w:p>
    <w:p w14:paraId="0D48E3ED"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b/>
          <w:bCs/>
          <w:i/>
          <w:iCs/>
          <w:noProof/>
          <w:color w:val="000000" w:themeColor="text1"/>
          <w:sz w:val="26"/>
          <w:szCs w:val="26"/>
        </w:rPr>
        <w:t xml:space="preserve">- </w:t>
      </w:r>
      <w:r w:rsidR="00A97C72" w:rsidRPr="00F10684">
        <w:rPr>
          <w:i/>
          <w:iCs/>
          <w:noProof/>
          <w:color w:val="000000" w:themeColor="text1"/>
          <w:sz w:val="26"/>
          <w:szCs w:val="26"/>
          <w:lang w:val="vi-VN"/>
        </w:rPr>
        <w:t xml:space="preserve">Rà soát, bổ sung hành vi “giúp sức” của tổ chức, cá nhân để doanh nghiệp thực hiện hành vi hạn chế cạnh tranh, cạnh tranh không lành mạnh thành một khoản riêng tại Điều 8 Luật Cạnh tranh; </w:t>
      </w:r>
    </w:p>
    <w:p w14:paraId="11CF81FD"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rStyle w:val="Strong"/>
          <w:b w:val="0"/>
          <w:bCs w:val="0"/>
          <w:i/>
          <w:iCs/>
          <w:noProof/>
          <w:color w:val="000000" w:themeColor="text1"/>
          <w:sz w:val="26"/>
          <w:szCs w:val="26"/>
        </w:rPr>
      </w:pPr>
      <w:r w:rsidRPr="00F10684">
        <w:rPr>
          <w:i/>
          <w:iCs/>
          <w:noProof/>
          <w:color w:val="000000" w:themeColor="text1"/>
          <w:sz w:val="26"/>
          <w:szCs w:val="26"/>
        </w:rPr>
        <w:t xml:space="preserve">- </w:t>
      </w:r>
      <w:r w:rsidR="00A97C72" w:rsidRPr="00F10684">
        <w:rPr>
          <w:i/>
          <w:iCs/>
          <w:noProof/>
          <w:color w:val="000000" w:themeColor="text1"/>
          <w:sz w:val="26"/>
          <w:szCs w:val="26"/>
          <w:lang w:val="vi-VN"/>
        </w:rPr>
        <w:t>Rà soát, bổ sung quy định về cơ chế</w:t>
      </w:r>
      <w:r w:rsidR="00A97C72" w:rsidRPr="00F10684">
        <w:rPr>
          <w:b/>
          <w:bCs/>
          <w:i/>
          <w:iCs/>
          <w:noProof/>
          <w:color w:val="000000" w:themeColor="text1"/>
          <w:sz w:val="26"/>
          <w:szCs w:val="26"/>
          <w:lang w:val="vi-VN"/>
        </w:rPr>
        <w:t xml:space="preserve"> </w:t>
      </w:r>
      <w:r w:rsidR="00A97C72" w:rsidRPr="00F10684">
        <w:rPr>
          <w:rStyle w:val="Strong"/>
          <w:b w:val="0"/>
          <w:bCs w:val="0"/>
          <w:i/>
          <w:iCs/>
          <w:noProof/>
          <w:color w:val="000000" w:themeColor="text1"/>
          <w:sz w:val="26"/>
          <w:szCs w:val="26"/>
          <w:lang w:val="vi-VN"/>
        </w:rPr>
        <w:t>“tiền kiểm” kết hợp với “hậu kiểm” đối với các nền tảng số quy mô lớn, quy mô rất lớn để ngăn ngừa nguy cơ vi phạm và kiểm soát phù hợp đối với các hành vi lạm dụng vị trí thống lĩnh thị trường, vị trí độc quyền được thực hiện bởi các nền tảng số này, trong đó:</w:t>
      </w:r>
    </w:p>
    <w:p w14:paraId="3000500B"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lang w:val="vi-VN"/>
        </w:rPr>
      </w:pPr>
      <w:r w:rsidRPr="00F10684">
        <w:rPr>
          <w:rStyle w:val="Strong"/>
          <w:b w:val="0"/>
          <w:bCs w:val="0"/>
          <w:i/>
          <w:iCs/>
          <w:noProof/>
          <w:color w:val="000000" w:themeColor="text1"/>
          <w:sz w:val="26"/>
          <w:szCs w:val="26"/>
        </w:rPr>
        <w:t xml:space="preserve">(i) </w:t>
      </w:r>
      <w:r w:rsidR="00A97C72" w:rsidRPr="00F10684">
        <w:rPr>
          <w:i/>
          <w:iCs/>
          <w:noProof/>
          <w:color w:val="000000" w:themeColor="text1"/>
          <w:sz w:val="26"/>
          <w:szCs w:val="26"/>
          <w:lang w:val="vi-VN"/>
        </w:rPr>
        <w:t xml:space="preserve">Bổ sung nhóm quy định về xác định thị trường liên quan trong lĩnh vực nền tảng số theo hướng chỉ tập trung vào các dịch vụ nền tảng cốt lõi, là những dịch vụ giữ vai trò trung gian thiết yếu giữa doanh nghiệp và người dùng. Nhóm dịch vụ này bao gồm: công cụ tìm kiếm trực tuyến; kho ứng dụng; mạng xã hội; hệ điều hành; dịch vụ quảng cáo trực tuyến; dịch vụ trung gian bán lẻ (marketplace); trình duyệt web và các dịch vụ tương tự có chức năng trung gian không thể thay thế; </w:t>
      </w:r>
    </w:p>
    <w:p w14:paraId="1AE841CE"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i/>
          <w:iCs/>
          <w:noProof/>
          <w:color w:val="000000" w:themeColor="text1"/>
          <w:sz w:val="26"/>
          <w:szCs w:val="26"/>
          <w:lang w:val="vi-VN"/>
        </w:rPr>
        <w:lastRenderedPageBreak/>
        <w:t xml:space="preserve">(ii) </w:t>
      </w:r>
      <w:r w:rsidR="00A97C72" w:rsidRPr="00F10684">
        <w:rPr>
          <w:i/>
          <w:iCs/>
          <w:noProof/>
          <w:color w:val="000000" w:themeColor="text1"/>
          <w:sz w:val="26"/>
          <w:szCs w:val="26"/>
          <w:lang w:val="vi-VN"/>
        </w:rPr>
        <w:t xml:space="preserve">Bổ sung nhóm quy định về sức mạnh thị trường đáng kể nhằm xác định các nền tảng số quy mô lớn và quy mô rất lớn thuộc diện phải tuân thủ các nghĩa vụ cấm mang tính tiền kiểm. Sức mạnh thị trường đáng kể của nền tảng được xem xét, đánh giá trên cơ sở tổng hợp các tiêu chí, bao gồm: (a) quy mô kinh tế, thể hiện qua doanh thu phát sinh từ dịch vụ nền tảng cốt lõi và tổng giá trị cổ phiếu đang lưu hành; (b) vai trò “gác cổng” của nền tảng số trung gian đối với thị trường dịch vụ cốt lõi, được phản ánh thông qua số lượng tài khoản người sử dụng hằng năm theo quy định của pháp luật về giao dịch điện tử; và (c) tính bền vững của nền tảng, thể hiện ở thời gian duy trì các tiêu chí về quy mô và vai trò “gác cổng” nêu trên. Các ngưỡng xác định sức mạnh thị trường đáng kể được giao Chính phủ quy định chi tiết nhằm đảm bảo các ngưỡng xác định phù hợp theo từng thời kỳ. </w:t>
      </w:r>
    </w:p>
    <w:p w14:paraId="2D3EC637"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i/>
          <w:iCs/>
          <w:noProof/>
          <w:color w:val="000000" w:themeColor="text1"/>
          <w:sz w:val="26"/>
          <w:szCs w:val="26"/>
        </w:rPr>
        <w:t xml:space="preserve">(iii) </w:t>
      </w:r>
      <w:r w:rsidR="00A97C72" w:rsidRPr="00F10684">
        <w:rPr>
          <w:i/>
          <w:iCs/>
          <w:noProof/>
          <w:color w:val="000000" w:themeColor="text1"/>
          <w:sz w:val="26"/>
          <w:szCs w:val="26"/>
          <w:lang w:val="vi-VN"/>
        </w:rPr>
        <w:t xml:space="preserve">Bổ sung các nhóm hành vi bị cấm áp dụng mặc nhiên đối với các nền tảng số quy mô lớn và nền tảng số quy mô rất lớn trên thị trường dịch vụ nền tảng cốt lõi. Các nền tảng thuộc diện điều chỉnh có nghĩa vụ tuân thủ các quy định cấm trong quá trình cung cấp dịch vụ nền tảng cốt lõi tại Việt Nam, không phụ thuộc vào việc đã hay chưa phát sinh hành vi vi phạm cụ thể theo pháp luật cạnh tranh truyền thống. Nhóm hành vi cấm tương tự như Giải pháp 1.  </w:t>
      </w:r>
    </w:p>
    <w:p w14:paraId="03ADF1FD"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lang w:val="vi-VN"/>
        </w:rPr>
      </w:pPr>
      <w:r w:rsidRPr="00F10684">
        <w:rPr>
          <w:i/>
          <w:iCs/>
          <w:noProof/>
          <w:color w:val="000000" w:themeColor="text1"/>
          <w:sz w:val="26"/>
          <w:szCs w:val="26"/>
        </w:rPr>
        <w:t>(iv)</w:t>
      </w:r>
      <w:r w:rsidR="00A97C72" w:rsidRPr="00F10684">
        <w:rPr>
          <w:i/>
          <w:iCs/>
          <w:noProof/>
          <w:color w:val="000000" w:themeColor="text1"/>
          <w:sz w:val="26"/>
          <w:szCs w:val="26"/>
          <w:lang w:val="vi-VN"/>
        </w:rPr>
        <w:t xml:space="preserve"> Xây dựng cơ chế giám sát và thực thi nghĩa vụ tuân thủ các quy định cấm đối với các nền tảng đã được xác định tại Bước 2. Theo cơ chế này, nền tảng số có sức mạnh thị trường đáng kể trên thị trường dịch vụ cốt lõi có trách nhiệm tự kê khai, tự đánh giá mức độ tuân thủ các quy định cấm trong quá trình cung cấp dịch vụ nền tảng cốt lõi; UBCTQG có thẩm quyền theo dõi, yêu cầu cung cấp thông tin và thực hiện đánh giá định kỳ hoặc đột xuất. Trường hợp phát hiện dấu hiệu không tuân thủ, UBCTQG lập biên bản xử phạt hành chính, ra quyết định xử phạt vi phạm hành chính mà không cần thực hiện quy trình tố tụng cạnh tranh như đã quy định tại pháp luật về cạnh tranh hiện hành. Đồng thời, UBCTQG có thẩm quyền yêu cầu nền tảng áp dụng các biện pháp khắc phục cần thiết, bao gồm điều chỉnh phương thức cung cấp dịch vụ, tương xứng với mức độ và tính chất của hành vi vi phạm. Cơ chế này nhằm bảo đảm các quy định cấm mang tính tiền kiểm được thực thi hiệu quả, liên tục và kịp thời, qua đó ngăn ngừa nguy cơ lạm dụng sức mạnh thị trường của các nền tảng số lớn ngay từ giai đoạn đầu, thay vì chỉ can thiệp sau khi các tác động hạn chế cạnh tranh đã xảy ra.</w:t>
      </w:r>
    </w:p>
    <w:p w14:paraId="1017C302"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i/>
          <w:iCs/>
          <w:noProof/>
          <w:color w:val="000000" w:themeColor="text1"/>
          <w:sz w:val="26"/>
          <w:szCs w:val="26"/>
          <w:lang w:val="vi-VN"/>
        </w:rPr>
        <w:t xml:space="preserve">- </w:t>
      </w:r>
      <w:r w:rsidR="00A97C72" w:rsidRPr="00F10684">
        <w:rPr>
          <w:i/>
          <w:iCs/>
          <w:noProof/>
          <w:color w:val="000000" w:themeColor="text1"/>
          <w:sz w:val="26"/>
          <w:szCs w:val="26"/>
          <w:lang w:val="vi-VN"/>
        </w:rPr>
        <w:t xml:space="preserve">Rà soát, bãi bỏ quy định về hành vi xâm phạm thông tin bí mật trong kinh doanh nhằm tránh chồng chéo, trùng lắp với pháp luật về sở hữu trí tuệ, đồng thời, sửa đổi, bổ sung quy định tại khoản 7 Điều 45 Luật Cạnh tranh theo hướng cho phép Chính phủ quy định chi tiết “hành vi cạnh tranh không lành mạnh khác”. </w:t>
      </w:r>
    </w:p>
    <w:p w14:paraId="6B0DA4A4" w14:textId="77777777" w:rsidR="00893D79" w:rsidRPr="00F10684" w:rsidRDefault="00893D79"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i/>
          <w:iCs/>
          <w:noProof/>
          <w:color w:val="000000" w:themeColor="text1"/>
          <w:sz w:val="26"/>
          <w:szCs w:val="26"/>
        </w:rPr>
        <w:t xml:space="preserve">- </w:t>
      </w:r>
      <w:r w:rsidR="00A97C72" w:rsidRPr="00F10684">
        <w:rPr>
          <w:b/>
          <w:bCs/>
          <w:i/>
          <w:iCs/>
          <w:noProof/>
          <w:color w:val="000000" w:themeColor="text1"/>
          <w:sz w:val="26"/>
          <w:szCs w:val="26"/>
          <w:lang w:val="vi-VN"/>
        </w:rPr>
        <w:t>Tác động đối với hệ thống pháp luật</w:t>
      </w:r>
    </w:p>
    <w:p w14:paraId="4FDAFEA9" w14:textId="77777777" w:rsidR="00893D79"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rPr>
      </w:pPr>
      <w:r w:rsidRPr="00F10684">
        <w:rPr>
          <w:noProof/>
          <w:color w:val="000000" w:themeColor="text1"/>
          <w:sz w:val="26"/>
          <w:szCs w:val="26"/>
          <w:lang w:val="vi-VN"/>
        </w:rPr>
        <w:t>Tích cực</w:t>
      </w:r>
      <w:r w:rsidR="00893D79" w:rsidRPr="00F10684">
        <w:rPr>
          <w:i/>
          <w:iCs/>
          <w:noProof/>
          <w:color w:val="000000" w:themeColor="text1"/>
          <w:sz w:val="26"/>
          <w:szCs w:val="26"/>
        </w:rPr>
        <w:t>:</w:t>
      </w:r>
    </w:p>
    <w:p w14:paraId="4917EED1" w14:textId="3BDAB192"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i/>
          <w:iCs/>
          <w:noProof/>
          <w:color w:val="000000" w:themeColor="text1"/>
          <w:sz w:val="26"/>
          <w:szCs w:val="26"/>
          <w:lang w:val="vi-VN"/>
        </w:rPr>
      </w:pPr>
      <w:r w:rsidRPr="00F10684">
        <w:rPr>
          <w:noProof/>
          <w:color w:val="000000" w:themeColor="text1"/>
          <w:sz w:val="26"/>
          <w:szCs w:val="26"/>
          <w:lang w:val="vi-VN"/>
        </w:rPr>
        <w:t>+ Về tính hợp hiến:</w:t>
      </w:r>
    </w:p>
    <w:p w14:paraId="36319C5F"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Hiến pháp quy định nền kinh tế Việt Nam là nền kinh tế thị trường định hướng xã hội chủ nghĩa với nhiều hình thức sở hữu, nhiều thành phần kinh tế (Khoản 1 Điều </w:t>
      </w:r>
      <w:r w:rsidRPr="00F10684">
        <w:rPr>
          <w:noProof/>
          <w:color w:val="000000" w:themeColor="text1"/>
          <w:sz w:val="26"/>
          <w:szCs w:val="26"/>
          <w:lang w:val="vi-VN"/>
        </w:rPr>
        <w:lastRenderedPageBreak/>
        <w:t xml:space="preserve">51 Hiến pháp), trong đó, các chủ thể thuộc các thành phần kinh tế bình đẳng, hợp tác và cạnh tranh theo pháp luật (Khoản 2 Điều 51 Hiến pháp); Nhà nước khuyến khích, tạo điều kiện để doanh nhân, doanh nghiệp và cá nhân, tổ chức khác đầu tư, sản xuất, kinh doanh; phát triển bền vững các ngành kinh tế, góp phần xây dựng đất nước (Khoản 3 Điều 51 Hiến pháp); Nhà nước xây dựng và hoàn thiện thể chế kinh tế, điều tiết nền kinh tế trên cơ sở tôn trọng các quy luật thị trường (Điều 52 Hiến pháp). </w:t>
      </w:r>
    </w:p>
    <w:p w14:paraId="2848B730"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F10684">
        <w:rPr>
          <w:noProof/>
          <w:color w:val="000000" w:themeColor="text1"/>
          <w:spacing w:val="-2"/>
          <w:sz w:val="26"/>
          <w:szCs w:val="26"/>
          <w:lang w:val="vi-VN"/>
        </w:rPr>
        <w:t xml:space="preserve">Đồng thời, Hiến pháp quy định quyền con người, quyền công dân chỉ có thể bị hạn chế theo quy định của luật trong trường hợp cần thiết vì lý do quốc phòng, an ninh quốc gia, trật tự, an toàn xã hội, đạo đức xã hội, sức khỏe của cộng đồng (Khoản 2 Điều 14 Hiến pháp). </w:t>
      </w:r>
    </w:p>
    <w:p w14:paraId="08A87BA4"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F10684">
        <w:rPr>
          <w:noProof/>
          <w:color w:val="000000" w:themeColor="text1"/>
          <w:spacing w:val="-2"/>
          <w:sz w:val="26"/>
          <w:szCs w:val="26"/>
          <w:lang w:val="vi-VN"/>
        </w:rPr>
        <w:t xml:space="preserve">Việc bổ sung hành vi giúp sức của tổ chức, cá nhân để doanh nghiệp thực hiện hành vi hạn chế cạnh tranh, cạnh tranh không lành mạnh ngay trong luật là phù hợp với Hiến pháp. </w:t>
      </w:r>
    </w:p>
    <w:p w14:paraId="429BF5D4"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F10684">
        <w:rPr>
          <w:noProof/>
          <w:color w:val="000000" w:themeColor="text1"/>
          <w:spacing w:val="-2"/>
          <w:sz w:val="26"/>
          <w:szCs w:val="26"/>
          <w:lang w:val="vi-VN"/>
        </w:rPr>
        <w:t xml:space="preserve">Bên cạnh đó, việc bổ sung cơ chế “tiền kiểm” kết hợp với “hậu kiểm” đối với các nền tảng số quy mô lớn, quy mô rất lớn phù hợp với yêu cầu xây dựng và hoàn thiện thể chế kinh tế thị trường định hướng xã hội chủ nghĩa, đồng thời không làm thay đổi, hạn chế quyền tự do kinh doanh hợp pháp của đại đa số chủ thể kinh tế. Việc áp dụng các nghĩa vụ, trách nhiệm mang tính phòng ngừa được thiết kế theo hướng chỉ áp dụng đối với một nhóm nền tảng đặc thù có sức mạnh thị trường đáng kể, trên cơ sở các tiêu chí khách quan, minh bạch, bảo đảm nguyên tắc bình đẳng, cạnh tranh theo pháp luật giữa các thành phần kinh tế. </w:t>
      </w:r>
    </w:p>
    <w:p w14:paraId="7432A925"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Trong bối cảnh kinh tế thị trường hiện đại, pháp luật cạnh tranh giữ vai trò tương tự như “Hiến pháp” của nền kinh tế thị trường, nhằm bảo đảm các quy luật tất yếu của thị trường (quy luật cung, cầu và quy luật cạnh tranh) vận hành lành mạnh, qua đó tối đa hóa phúc lợi xã hội, bao gồm cả thặng dư của người tiêu dùng và thặng dư của nhà sản xuất. Tuy nhiên, sự phát triển nhanh của các nền tảng số với các đặc trưng về quy mô lớn, cấu trúc thị trường đa diện, hiệu ứng mạng lưới mạnh và khả năng tích lũy, khai thác dữ liệu vượt trội đã làm gia tăng nguy cơ hình thành quyền lực thị trường mang tính bền vững, khó bị xói mòn bởi cơ chế cạnh tranh thông thường. Để đạt được và duy trì vị thế này, các nền tảng thường cần nguồn lực tài chính lớn, lượng dữ liệu khổng lồ và thời gian dài, tạo ra rào cản gia nhập thị trường đáng kể đối với các doanh nghiệp mới và doanh nghiệp nhỏ.</w:t>
      </w:r>
    </w:p>
    <w:p w14:paraId="568FD631"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Trong bối cảnh đó, việc Nhà nước thiết lập cơ chế giám sát và áp đặt các nghĩa vụ tiền kiểm đối với nhóm nền tảng số sức mạnh thị trường đáng kể không nhằm can thiệp hành chính vào hoạt động kinh doanh, mà nhằm điều tiết hành vi trên cơ sở tôn trọng các quy luật thị trường, đúng với tinh thần của Điều 52 Hiến pháp. Cơ chế này góp phần ngăn ngừa sớm nguy cơ lạm dụng sức mạnh thị trường, hạn chế khả năng bóp méo cạnh tranh ngay từ giai đoạn đầu, qua đó bảo vệ môi trường cạnh tranh lành mạnh, thúc đẩy đổi mới sáng tạo và tạo điều kiện cho các doanh nghiệp thuộc các thành phần kinh tế khác tiếp cận thị trường một cách công bằng.</w:t>
      </w:r>
    </w:p>
    <w:p w14:paraId="6719096A"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lastRenderedPageBreak/>
        <w:t>Như vậy, xét về phương diện hợp hiến, Giải pháp 2 vừa thể hiện vai trò điều tiết của Nhà nước trong nền kinh tế thị trường, vừa bảo đảm các nguyên tắc bình đẳng, tự do kinh doanh, qua đó đóng góp tích cực vào việc thực hiện các mục tiêu phát triển kinh tế – xã hội theo Hiến pháp.</w:t>
      </w:r>
    </w:p>
    <w:p w14:paraId="468B0BC3"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Về tính tính hợp pháp, tính thống nhất với hệ thống pháp luật:</w:t>
      </w:r>
    </w:p>
    <w:p w14:paraId="5F4F1307"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Giải pháp 2 bảo đảm tính hợp pháp và tính thống nhất của hệ thống pháp luật thông qua cách tiếp cận lập pháp theo hướng quy định nguyên tắc tại luật, giao Chính phủ quy định chi tiết, phù hợp với Luật Ban hành văn bản quy phạm pháp luật. Việc bổ sung hành vi bị cấm đối với nền tảng số (nghĩa vụ mang tính chất tiền kiểm), tiêu chí xác định thị trường liên quan (thị trường dịch vụ cốt lõi) và thị phần ngay trong Luật Cạnh tranh, đồng thời giao Chính phủ quy định cụ thể về phương pháp xác định và tiêu chí áp dụng, giúp bảo đảm tính minh bạch, khả thi và linh hoạt trong tổ chức thực hiện, đặc biệt trong bối cảnh thị trường và mô hình kinh doanh thay đổi nhanh. </w:t>
      </w:r>
    </w:p>
    <w:p w14:paraId="7799CF8D"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F10684">
        <w:rPr>
          <w:noProof/>
          <w:color w:val="000000" w:themeColor="text1"/>
          <w:spacing w:val="-2"/>
          <w:sz w:val="26"/>
          <w:szCs w:val="26"/>
          <w:lang w:val="vi-VN"/>
        </w:rPr>
        <w:t>Cơ chế “tiền kiểm” đối với các nền tảng số quy mô lớn, quy mô rất lớn được thiết kế như một công cụ điều tiết bổ sung mang tính phòng ngừa, không thay thế, không làm suy giảm và cũng không trùng lặp với các cơ chế điều tra, xử lý hành vi hạn chế cạnh tranh theo pháp luật cạnh tranh hiện hành (hậu kiểm). Cơ chế này chỉ được áp dụng đối với một nhóm chủ thể đặc thù có sức mạnh thị trường đáng kể và chỉ điều chỉnh hành vi trong giai đoạn cung cấp dịch vụ nền tảng cốt lõi, trong khi các cơ chế hậu kiểm tiếp tục được áp dụng đối với các hành vi vi phạm cạnh tranh đã phát sinh theo quy định chung của Luật Cạnh tranh.</w:t>
      </w:r>
    </w:p>
    <w:p w14:paraId="62BC5685"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Giải pháp 2 không tạo ra sự mâu thuẫn với các quy định của các pháp luật chuyên ngành như pháp luật về giao dịch điện tử, viễn thông, công nghệ thông tin, thương mại điện tử hay bảo vệ quyền lợi người tiêu dùng, do mục tiêu điều chỉnh, phạm vi áp dụng và công cụ can thiệp của cơ chế tiền kiểm khác biệt rõ ràng. Trong khi các luật chuyên ngành chủ yếu điều chỉnh điều kiện kinh doanh, tiêu chuẩn kỹ thuật, bảo vệ người tiêu dùng hoặc quản lý nội dung, thì cơ chế tiền kiểm theo Luật Cạnh tranh tập trung vào phòng ngừa nguy cơ lạm dụng vị trí thống lĩnh thị trường, sức mạnh thị trường đáng kể dẫn đến bóp méo cạnh tranh. Do đó, các quy định này có tính bổ trợ, mà không chồng chéo với các pháp luật chuyên ngành khác. </w:t>
      </w:r>
    </w:p>
    <w:p w14:paraId="6E5027B9"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việc xác định đối tượng áp dụng cơ chế tiền kiểm dựa trên các tiêu chí khách quan về quy mô kinh tế, vai trò “gác cổng” và tính bền vững của sức mạnh thị trường giúp bảo đảm nguyên tắc bình đẳng trước pháp luật, tránh áp dụng tùy nghi đối với mọi doanh nghiệp hoạt động trên thị trường số. Các nghĩa vụ mang tính tiền kiểm chỉ áp dụng đối với một nhóm nền tảng đặc thù có sức mạnh thị trường đáng kể, qua đó hạn chế nguy cơ tạo gánh nặng tuân thủ không cần thiết cho các doanh nghiệp nhỏ và vừa.</w:t>
      </w:r>
    </w:p>
    <w:p w14:paraId="1410C445"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Về tổ chức thực thi, cơ chế giám sát, đánh giá tuân thủ và xử lý vi phạm do UBCTQG thực hiện được xây dựng phù hợp với chức năng, nhiệm vụ và thẩm quyền đã được pháp luật hiện hành quy định, không làm phát sinh chồng chéo về thẩm quyền </w:t>
      </w:r>
      <w:r w:rsidRPr="00F10684">
        <w:rPr>
          <w:noProof/>
          <w:color w:val="000000" w:themeColor="text1"/>
          <w:sz w:val="26"/>
          <w:szCs w:val="26"/>
          <w:lang w:val="vi-VN"/>
        </w:rPr>
        <w:lastRenderedPageBreak/>
        <w:t>quản lý nhà nước hoặc yêu cầu thành lập cơ quan mới. Việc kết hợp giữa nghĩa vụ tự kê khai, tự đánh giá của doanh nghiệp với quyền giám sát, kiểm tra của cơ quan quản lý cũng phù hợp với xu hướng quản lý hiện đại, nâng cao trách nhiệm tuân thủ và tính chủ động của doanh nghiệp.</w:t>
      </w:r>
    </w:p>
    <w:p w14:paraId="62463972" w14:textId="77777777" w:rsidR="00A97C72"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Như vậy, xét về tính hợp pháp và tính thống nhất của hệ thống pháp luật, Giải pháp 2 phù hợp với khuôn khổ pháp lý hiện hành, không tạo xung đột pháp luật, đồng thời góp phần hoàn thiện pháp luật cạnh tranh, nâng cao khả năng thích ứng của hệ thống pháp luật trước sự phát triển nhanh của thị trường và các mô hình kinh doanh mới trong lĩnh vực nền tảng số.</w:t>
      </w:r>
    </w:p>
    <w:p w14:paraId="3533B5FF"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 Về tính tương thích với các điều ước quốc tế có liên quan mà nước Cộng hòa xã hội chủ nghĩa Việt Nam là thành viên: </w:t>
      </w:r>
    </w:p>
    <w:p w14:paraId="02CFB158"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Cơ chế “tiền kiểm” đối với các nền tảng số quy mô lớn, quy mô rất lớn được xây dựng với mục đích chính là phòng ngừa rủi ro cạnh tranh ngay từ sớm, thay vì chỉ xử lý khi hành vi vi phạm đã xảy ra. Việc áp dụng cơ chế này xuất phát từ các mục tiêu chính sách công chính đáng của Nhà nước, bao gồm bảo đảm duy trì môi trường cạnh tranh công bằng, minh bạch trên thị trường số và ngăn chặn khả năng các nền tảng có sức mạnh thị trường đáng kể lạm dụng vị thế của mình để loại trừ, bóp méo hoặc làm suy giảm cạnh tranh.</w:t>
      </w:r>
    </w:p>
    <w:p w14:paraId="5BBC12C5"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Cách tiếp cận “tiền kiểm” không nhằm hạn chế hoạt động kinh doanh hợp pháp của các nền tảng số, mà hướng tới việc thiết lập các nghĩa vụ và chuẩn mực hành vi trước, qua đó giảm thiểu nguy cơ phát sinh các hành vi phản cạnh tranh có tác động lan tỏa lớn. Điều này đặc biệt cần thiết đối với các nền tảng số quy mô lớn, nơi hiệu ứng mạng lưới, dữ liệu và khả năng kiểm soát hạ tầng trung gian có thể tạo ra sức mạnh thị trường đáng kể trong thời gian ngắn.</w:t>
      </w:r>
    </w:p>
    <w:p w14:paraId="78F026AA"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Việc thiết kế cơ chế này được xem là phù hợp với các ngoại lệ và “không gian chính sách” (policy space) mà các điều ước quốc tế về thương mại và đầu tư thường thừa nhận, theo đó các quốc gia có quyền ban hành và áp dụng các biện pháp cần thiết để bảo vệ cạnh tranh, trật tự thị trường, lợi ích công cộng và sự ổn định của nền kinh tế, miễn là các biện pháp đó được xây dựng minh bạch, không phân biệt đối xử và tương xứng với mục tiêu quản lý. Nói cách khác, quy định “tiền kiểm” đối với nền tảng số quy mô lớn không phải là một rào cản thương mại tùy tiện, mà là một công cụ quản lý hợp pháp, nằm trong phạm vi quyền điều tiết chính đáng của Nhà nước theo thông lệ và cam kết quốc tế.</w:t>
      </w:r>
    </w:p>
    <w:p w14:paraId="3591018E"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Các nghĩa vụ, trách nhiệm mang tính tiền kiểm được áp dụng không phân biệt đối xử giữa doanh nghiệp trong nước và doanh nghiệp nước ngoài, dựa trên các tiêu chí khách quan về quy mô, vai trò “gác cổng” và tính bền vững của sức mạnh thị trường, qua đó bảo đảm tuân thủ các nguyên tắc cơ bản về đối xử quốc gia, tối huệ quốc và minh bạch theo các cam kết tại các điều ước quốc tế mà Việt Nam là thành viên. Đồng thời, cơ chế này không đặt ra các điều kiện hạn chế tiếp cận thị trường hoặc yêu cầu chuyển giao công nghệ, dữ liệu, mà chỉ điều chỉnh cách thức thực hiện hoạt động kinh doanh </w:t>
      </w:r>
      <w:r w:rsidRPr="00F10684">
        <w:rPr>
          <w:noProof/>
          <w:color w:val="000000" w:themeColor="text1"/>
          <w:sz w:val="26"/>
          <w:szCs w:val="26"/>
          <w:lang w:val="vi-VN"/>
        </w:rPr>
        <w:lastRenderedPageBreak/>
        <w:t>trong những trường hợp có nguy cơ cao gây tác động hạn chế cạnh tranh.</w:t>
      </w:r>
    </w:p>
    <w:p w14:paraId="506FF5B3"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pháp luật cạnh tranh và các biện pháp kiểm soát quyền lực thị trường, bao gồm cả các công cụ mang tính phòng ngừa, được thừa nhận rộng rãi trong thông lệ quốc tế và được áp dụng tại nhiều quốc gia, khu vực lớn (như Liên minh châu Âu, Trung Quốc…). Do đó, việc Việt Nam bổ sung cơ chế tiền kiểm đối với các nền tảng số quy mô lớn không phải là biện pháp đơn phương hoặc khác biệt bất thường, mà phù hợp với xu hướng quản trị thị trường số trên thế giới.</w:t>
      </w:r>
    </w:p>
    <w:p w14:paraId="1E447B88"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Như vậy, xét về tính tương thích với các điều ước quốc tế có liên quan, Giải pháp 2 không tạo ra nguy cơ xung đột nghĩa vụ quốc tế, không làm phát sinh khả năng tranh chấp thương mại, đầu tư, đồng thời vẫn bảo đảm đầy đủ không gian chính sách cần thiết để Nhà nước thực hiện mục tiêu bảo vệ cạnh tranh và lợi ích công cộng trong nền kinh tế thị trường.</w:t>
      </w:r>
    </w:p>
    <w:p w14:paraId="7A92CA55"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Tiêu cực</w:t>
      </w:r>
    </w:p>
    <w:p w14:paraId="75A4E127" w14:textId="77777777" w:rsidR="00966A0D" w:rsidRPr="00F10684" w:rsidRDefault="00966A0D"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 </w:t>
      </w:r>
      <w:r w:rsidR="00A97C72" w:rsidRPr="00F10684">
        <w:rPr>
          <w:noProof/>
          <w:color w:val="000000" w:themeColor="text1"/>
          <w:sz w:val="26"/>
          <w:szCs w:val="26"/>
          <w:lang w:val="vi-VN"/>
        </w:rPr>
        <w:t>Về tính hợp hiến</w:t>
      </w:r>
      <w:r w:rsidRPr="00F10684">
        <w:rPr>
          <w:noProof/>
          <w:color w:val="000000" w:themeColor="text1"/>
          <w:sz w:val="26"/>
          <w:szCs w:val="26"/>
          <w:lang w:val="vi-VN"/>
        </w:rPr>
        <w:t>:</w:t>
      </w:r>
    </w:p>
    <w:p w14:paraId="6035BDBD"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Điều 33 Hiến pháp có quy định  “</w:t>
      </w:r>
      <w:bookmarkStart w:id="31" w:name="dieu_33_name"/>
      <w:r w:rsidRPr="00F10684">
        <w:rPr>
          <w:i/>
          <w:iCs/>
          <w:noProof/>
          <w:color w:val="000000" w:themeColor="text1"/>
          <w:sz w:val="26"/>
          <w:szCs w:val="26"/>
          <w:lang w:val="vi-VN"/>
        </w:rPr>
        <w:t>Mọi người có quyền tự do kinh doanh trong những ngành nghề mà pháp luật không cấm</w:t>
      </w:r>
      <w:bookmarkEnd w:id="31"/>
      <w:r w:rsidRPr="00F10684">
        <w:rPr>
          <w:noProof/>
          <w:color w:val="000000" w:themeColor="text1"/>
          <w:sz w:val="26"/>
          <w:szCs w:val="26"/>
          <w:lang w:val="vi-VN"/>
        </w:rPr>
        <w:t>”. Việc bổ sung cơ chế “tiền kiểm” đối với các nền tảng số quy mô lớn, quy mô rất lớn, với việc áp đặt các nghĩa vụ, trách nhiệm mang tính tiền kiểm, phòng ngừa, có thể làm phát sinh quan ngại nhất định về phạm vi và mức độ can thiệp của Nhà nước đối với quyền tự do kinh doanh của doanh nghiệp.</w:t>
      </w:r>
    </w:p>
    <w:p w14:paraId="1B071962"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pacing w:val="-2"/>
          <w:sz w:val="26"/>
          <w:szCs w:val="26"/>
          <w:lang w:val="vi-VN"/>
        </w:rPr>
      </w:pPr>
      <w:r w:rsidRPr="00F10684">
        <w:rPr>
          <w:noProof/>
          <w:color w:val="000000" w:themeColor="text1"/>
          <w:spacing w:val="-2"/>
          <w:sz w:val="26"/>
          <w:szCs w:val="26"/>
          <w:lang w:val="vi-VN"/>
        </w:rPr>
        <w:t>Cụ thể, khác với cơ chế hậu kiểm truyền thống là chỉ can thiệp khi hành vi vi phạm đã xảy ra và được chứng minh, thì cơ chế tiền kiểm cho phép áp dụng các nghĩa vụ cấm ngay cả khi chưa phát sinh hành vi vi phạm cụ thể. Trong trường hợp tiêu chí xác định nền tảng số quy mô lớn, quy mô rất lớn hoặc phạm vi các hành vi bị cấm chưa được quy định đủ rõ ràng, minh bạch, việc áp dụng cơ chế này có thể bị nhìn nhận là mở rộng giới hạn điều tiết, làm gia tăng mức độ hạn chế quyền tự do kinh doanh so với yêu cầu tối thiểu cần thiết.</w:t>
      </w:r>
    </w:p>
    <w:p w14:paraId="0AA9CA9F"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nếu các nghĩa vụ cấm mang tính tiền kiểm được thiết kế hoặc áp dụng quá rộng, thiếu tính tương xứng với mức độ rủi ro cạnh tranh, có thể dẫn đến việc hạn chế quyền chủ động kinh doanh, sáng tạo mô hình kinh doanh mới của một số nền tảng, đặc biệt trong các lĩnh vực công nghệ thay đổi nhanh. Điều này đặt ra yêu cầu phải bảo đảm rằng mọi biện pháp hạn chế quyền tự do kinh doanh đều có căn cứ rõ ràng, phục vụ mục tiêu chính sách công chính đáng và tương xứng, phù hợp với tinh thần của Điều 33 Hiến pháp.</w:t>
      </w:r>
    </w:p>
    <w:p w14:paraId="4369B34F"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Do đó, để giảm thiểu tác động tiêu cực về phương diện hợp hiến, việc xây dựng và áp dụng cơ chế tiền kiểm cần được giới hạn chặt chẽ về đối tượng, điều kiện áp dụng và phạm vi nghĩa vụ của nền tảng số có sức mạnh thị trường đáng kể trên thị trường dịch vụ cốt lõi. </w:t>
      </w:r>
    </w:p>
    <w:p w14:paraId="0C13A814"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Bên cạnh đó, việc chỉ quy định mang tính nguyên tắc trong Luật và giao Chính phủ quy định chi tiết, thậm chí xác định bổ sung các hành vi cạnh tranh không lành mạnh </w:t>
      </w:r>
      <w:r w:rsidRPr="00F10684">
        <w:rPr>
          <w:noProof/>
          <w:color w:val="000000" w:themeColor="text1"/>
          <w:sz w:val="26"/>
          <w:szCs w:val="26"/>
          <w:lang w:val="vi-VN"/>
        </w:rPr>
        <w:lastRenderedPageBreak/>
        <w:t>khác tại Nghị định có thể chưa bảo đảm phù hợp với khoản 2 Điều 14 Hiến pháp. Theo quy định này, việc hạn chế quyền con người, quyền công dân chỉ được thực hiện bằng luật và chỉ trong những trường hợp thật sự cần thiết vì lý do quốc phòng, an ninh quốc gia, trật tự, an toàn xã hội, đạo đức xã hội hoặc sức khỏe cộng đồng. Trong khi đó, các quy định về hành vi cạnh tranh không lành mạnh có thể trực tiếp làm phát sinh nghĩa vụ, trách nhiệm pháp lý và dẫn tới việc hạn chế quyền tự do kinh doanh của tổ chức, cá nhân. Do vậy, nếu các hành vi bị cấm hoặc bị xử lý chủ yếu được xác định ở văn bản dưới luật, thay vì được quy định rõ ràng ngay trong Luật, thì có nguy cơ chưa đáp ứng đầy đủ yêu cầu về thẩm quyền và hình thức văn bản theo Hiến pháp, đồng thời làm giảm tính minh bạch và dự đoán được của hệ thống pháp luật</w:t>
      </w:r>
      <w:r w:rsidR="00966A0D" w:rsidRPr="00F10684">
        <w:rPr>
          <w:noProof/>
          <w:color w:val="000000" w:themeColor="text1"/>
          <w:sz w:val="26"/>
          <w:szCs w:val="26"/>
          <w:lang w:val="vi-VN"/>
        </w:rPr>
        <w:t>.</w:t>
      </w:r>
    </w:p>
    <w:p w14:paraId="57623DB1"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 Về tính tính hợp pháp, tính thống nhất với hệ thống pháp luật: </w:t>
      </w:r>
    </w:p>
    <w:p w14:paraId="5DB9734E"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Việc bổ sung cơ chế “tiền kiểm” đối với các nền tảng số quy mô lớn, quy mô rất lớn có thể làm gia tăng mức độ phức tạp của hệ thống pháp luật cạnh tranh, đặc biệt trong mối quan hệ giữa các quy định mang tính nguyên tắc tại Luật Cạnh tranh và các quy định chi tiết do Chính phủ ban hành. Nếu phạm vi ủy quyền lập quy không được xác định rõ về nội dung, giới hạn và tiêu chí áp dụng, có thể phát sinh tình trạng văn bản dưới luật mở rộng thực chất phạm vi điều chỉnh hoặc thiết lập thêm nghĩa vụ mới, qua đó ảnh hưởng đến nguyên tắc bảo đảm thẩm quyền lập pháp, tính minh bạch và khả năng dự đoán của hệ thống pháp luật.</w:t>
      </w:r>
    </w:p>
    <w:p w14:paraId="21F678D8"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cơ chế tiền kiểm dễ tạo ra ranh giới chưa thật sự rạch ròi giữa các biện pháp phòng ngừa theo pháp luật cạnh tranh với các công cụ quản lý, giám sát trong pháp luật chuyên ngành như thương mại điện tử, viễn thông, công nghệ thông tin hoặc bảo vệ quyền lợi người tiêu dùng. Trong trường hợp chưa có hướng dẫn cụ thể về phân định phạm vi điều chỉnh, tiêu chí áp dụng và cơ chế phối hợp giữa các cơ quan quản lý nhà nước, nguy cơ chồng chéo thẩm quyền, áp dụng song trùng quy định và trùng lặp nghĩa vụ tuân thủ đối với doanh nghiệp là hiện hữu trong thực tiễn.</w:t>
      </w:r>
    </w:p>
    <w:p w14:paraId="1519B1FC"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Ngoài ra, việc thiết kế các nghĩa vụ mang tính tiền kiểm dựa trên các tiêu chí như quy mô kinh tế, vai trò “gác cổng” thị trường hay mức độ bền vững của sức mạnh thị trường đặt ra thách thức đáng kể về phương pháp lượng hóa và bảo đảm áp dụng thống nhất. Trong bối cảnh thị trường số biến động nhanh, dữ liệu thị trường có thể chưa đầy đủ hoặc chưa phản ánh toàn diện cấu trúc cạnh tranh, dẫn đến khả năng các cơ quan thực thi diễn giải và áp dụng tiêu chí khác nhau. Hệ quả là làm giảm tính dự đoán của pháp luật và ảnh hưởng đến sự ổn định của môi trường pháp lý đối với doanh nghiệp.</w:t>
      </w:r>
    </w:p>
    <w:p w14:paraId="7146317C"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Vì vậy, nếu không được thiết kế với tiêu chí rõ ràng, giới hạn ủy quyền chặt chẽ và cơ chế phối hợp liên ngành hiệu quả, cơ chế tiền kiểm có thể làm suy giảm tính thống nhất của hệ thống pháp luật, gia tăng gánh nặng tuân thủ và chi phí pháp lý cho doanh nghiệp, đồng thời đặt ra yêu cầu cao hơn về năng lực phân tích thị trường, nguồn lực dữ liệu và trình độ chuyên môn của cơ quan thực thi pháp luật cạnh tranh.</w:t>
      </w:r>
    </w:p>
    <w:p w14:paraId="19695E6C"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Về tính tương thích với các điều ước quốc tế có liên quan mà nước Cộng hòa xã hội chủ nghĩa Việt Nam là thành viên:</w:t>
      </w:r>
    </w:p>
    <w:p w14:paraId="0ECB24C5"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lastRenderedPageBreak/>
        <w:t>Không có tác động tiêu cực về tính tương thích với các điều ước quốc tế có liên quan mà nước Cộng hòa xã hội chủ nghĩa Việt Nam là thành viên.</w:t>
      </w:r>
    </w:p>
    <w:p w14:paraId="32483AE9" w14:textId="77777777" w:rsidR="00966A0D" w:rsidRPr="00F10684" w:rsidRDefault="002B2018"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 </w:t>
      </w:r>
      <w:r w:rsidR="00A97C72" w:rsidRPr="00F10684">
        <w:rPr>
          <w:b/>
          <w:bCs/>
          <w:i/>
          <w:iCs/>
          <w:noProof/>
          <w:color w:val="000000" w:themeColor="text1"/>
          <w:sz w:val="26"/>
          <w:szCs w:val="26"/>
          <w:lang w:val="vi-VN"/>
        </w:rPr>
        <w:t xml:space="preserve">Tác động về kinh tế - xã hội: </w:t>
      </w:r>
    </w:p>
    <w:p w14:paraId="6AC82A23"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Đối với tác động của Giải pháp 2 về kinh tế - xã hội chỉ phát sinh đối với vấn đề sản xuất kinh doanh, do đó, Báo cáo chỉ đánh giá Giải pháp 2 về các vấn đề liên quan đến điều kiện đầu tư kinh doanh, tiếp cận thị trường, khả năng cạnh tranh, nguyên liệu, nhiên liệu, nguồn nhân lực, vốn, hạ tầng - kỹ thuật và các nội dung khác có liên quan trực tiếp đến sản xuất, kinh doanh.</w:t>
      </w:r>
    </w:p>
    <w:p w14:paraId="19C93899" w14:textId="183315E1"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Tích cực:</w:t>
      </w:r>
    </w:p>
    <w:p w14:paraId="7F577E0F"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t>+ Đối với Nhà nước</w:t>
      </w:r>
      <w:r w:rsidRPr="00F10684">
        <w:rPr>
          <w:noProof/>
          <w:color w:val="000000" w:themeColor="text1"/>
          <w:sz w:val="26"/>
          <w:szCs w:val="26"/>
          <w:lang w:val="vi-VN"/>
        </w:rPr>
        <w:t>: Giải pháp 2 góp phần nâng cao hiệu quả quản lý nhà nước về cạnh tranh, đặc biệt trong bối cảnh phát triển nhanh của thị trường số và mô hình kinh doanh nền tảng. Việc áp dụng cơ chế “tiền kiểm” giúp giảm chi phí xử lý vi phạm sau khi đã xảy ra, hạn chế các vụ việc cạnh tranh phức tạp, kéo dài và tốn kém nguồn lực điều tra. Môi trường cạnh tranh minh bạch, lành mạnh hơn cũng góp phần cải thiện môi trường đầu tư, kinh doanh. Đồng thời, chính sách tạo cơ sở pháp lý rõ ràng để Nhà nước chủ động điều tiết các nền tảng có sức mạnh thị trường đáng kể, nâng cao tính dự báo và hiệu lực quản lý.</w:t>
      </w:r>
    </w:p>
    <w:p w14:paraId="1CE5B9BB"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t>+ Đối với doanh nghiệp</w:t>
      </w:r>
      <w:r w:rsidRPr="00F10684">
        <w:rPr>
          <w:noProof/>
          <w:color w:val="000000" w:themeColor="text1"/>
          <w:sz w:val="26"/>
          <w:szCs w:val="26"/>
          <w:lang w:val="vi-VN"/>
        </w:rPr>
        <w:t xml:space="preserve">: Giải pháp 2 mang lại tác động tích cực chủ yếu đối với các doanh nghiệp không nắm giữ sức mạnh thị trường đáng kể, đặc biệt là doanh nghiệp nhỏ và vừa, doanh nghiệp khởi nghiệp, thông qua việc hạn chế các hành vi lạm dụng sức mạnh thị trường của các nền tảng số lớn. Điều này có ý nghĩa quan trọng trong bối cảnh quy mô vốn đầu tư vào hệ sinh thái startup tại Việt Nam đang gia tăng nhanh trong những năm gần đây. </w:t>
      </w:r>
    </w:p>
    <w:p w14:paraId="2E094A58"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Theo các báo cáo thống kê quốc tế</w:t>
      </w:r>
      <w:r w:rsidRPr="00F10684">
        <w:rPr>
          <w:rStyle w:val="FootnoteReference"/>
          <w:noProof/>
          <w:color w:val="000000" w:themeColor="text1"/>
          <w:sz w:val="26"/>
          <w:szCs w:val="26"/>
          <w:lang w:val="vi-VN"/>
        </w:rPr>
        <w:footnoteReference w:id="45"/>
      </w:r>
      <w:r w:rsidRPr="00F10684">
        <w:rPr>
          <w:noProof/>
          <w:color w:val="000000" w:themeColor="text1"/>
          <w:sz w:val="26"/>
          <w:szCs w:val="26"/>
          <w:lang w:val="vi-VN"/>
        </w:rPr>
        <w:t>, tổng vốn đầu tư cho hệ sinh thái startup tại Việt Nam tính đến giữa năm 2025 đạt khoảng 3,2 tỷ Đôla Mỹ (tích lũy), trong đó khoảng 2,3 tỷ Đôla Mỹ được rót trong giai đoạn 2020–2025, với mức đỉnh khoảng 1,2 tỷ Đôla Mỹ vào năm 2021. Riêng vốn tài trợ trực tiếp cho startup công nghệ trong các năm gần đây ghi nhận khoảng 120 triệu Đôla Mỹ vào năm 2024 và duy trì ở mức trung bình vài trăm triệu Đôla Mỹ mỗi năm trong giai đoạn 2020–2025. Hiện nay, Việt Nam có hơn 5.500 startup công nghệ, trong đó trên 4.100 startup đang hoạt động, song chỉ có khoảng 6 doanh nghiệp đạt mức định giá “kỳ lân” (trên 1 tỷ Đôla Mỹ)</w:t>
      </w:r>
      <w:r w:rsidRPr="00F10684">
        <w:rPr>
          <w:rStyle w:val="FootnoteReference"/>
          <w:noProof/>
          <w:color w:val="000000" w:themeColor="text1"/>
          <w:sz w:val="26"/>
          <w:szCs w:val="26"/>
          <w:lang w:val="vi-VN"/>
        </w:rPr>
        <w:t xml:space="preserve"> </w:t>
      </w:r>
      <w:r w:rsidRPr="00F10684">
        <w:rPr>
          <w:rStyle w:val="FootnoteReference"/>
          <w:noProof/>
          <w:color w:val="000000" w:themeColor="text1"/>
          <w:sz w:val="26"/>
          <w:szCs w:val="26"/>
          <w:lang w:val="vi-VN"/>
        </w:rPr>
        <w:footnoteReference w:id="46"/>
      </w:r>
      <w:r w:rsidRPr="00F10684">
        <w:rPr>
          <w:noProof/>
          <w:color w:val="000000" w:themeColor="text1"/>
          <w:sz w:val="26"/>
          <w:szCs w:val="26"/>
          <w:lang w:val="vi-VN"/>
        </w:rPr>
        <w:t>, cho thấy dư địa phát triển và khả năng bứt phá của khu vực khởi nghiệp vẫn còn rất lớn</w:t>
      </w:r>
      <w:r w:rsidR="00966A0D" w:rsidRPr="00F10684">
        <w:rPr>
          <w:noProof/>
          <w:color w:val="000000" w:themeColor="text1"/>
          <w:sz w:val="26"/>
          <w:szCs w:val="26"/>
          <w:lang w:val="vi-VN"/>
        </w:rPr>
        <w:t>.</w:t>
      </w:r>
    </w:p>
    <w:p w14:paraId="73035A68"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Môi trường cạnh tranh công bằng và minh bạch hơn giúp các doanh nghiệp này mở rộng cơ hội tiếp cận thị trường, giảm rào cản gia nhập, nâng cao khả năng cạnh tranh và mở rộng quy mô sản xuất, kinh doanh, từ đó gia tăng hiệu quả và lợi nhuận. Đồng thời, việc thiết lập các nguyên tắc và nghĩa vụ rõ ràng góp phần giảm rủi ro pháp lý và chi phí tuân thủ trong dài hạn, tạo điều kiện thuận lợi cho các quyết định đầu tư, đổi mới </w:t>
      </w:r>
      <w:r w:rsidRPr="00F10684">
        <w:rPr>
          <w:noProof/>
          <w:color w:val="000000" w:themeColor="text1"/>
          <w:sz w:val="26"/>
          <w:szCs w:val="26"/>
          <w:lang w:val="vi-VN"/>
        </w:rPr>
        <w:lastRenderedPageBreak/>
        <w:t>sáng tạo và thu hút nguồn lực vào các lĩnh vực kinh doanh mới.</w:t>
      </w:r>
    </w:p>
    <w:p w14:paraId="6FBD999E"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t>+ Đối với tổ chức, cá nhân:</w:t>
      </w:r>
      <w:r w:rsidRPr="00F10684">
        <w:rPr>
          <w:noProof/>
          <w:color w:val="000000" w:themeColor="text1"/>
          <w:sz w:val="26"/>
          <w:szCs w:val="26"/>
          <w:lang w:val="vi-VN"/>
        </w:rPr>
        <w:t xml:space="preserve"> Giải pháp 2 góp phần tạo lập môi trường cạnh tranh lành mạnh và minh bạch hơn, qua đó giúp người sử dụng hàng hóa, dịch vụ được tiếp cận hàng hóa, dịch vụ có chất lượng tốt hơn với mức giá hợp lý hơn. </w:t>
      </w:r>
    </w:p>
    <w:p w14:paraId="1D23B8C9"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w:t>
      </w:r>
      <w:r w:rsidRPr="00F10684">
        <w:rPr>
          <w:i/>
          <w:iCs/>
          <w:noProof/>
          <w:color w:val="000000" w:themeColor="text1"/>
          <w:sz w:val="26"/>
          <w:szCs w:val="26"/>
          <w:lang w:val="vi-VN"/>
        </w:rPr>
        <w:t>a) Ưu tiên sản phẩm, dịch vụ do mình hoặc doanh nghiệp trong nhóm doanh nghiệp liên kết với chủ quản nền tảng cung cấp thông qua thứ hạng hiển thị, thuật toán, điều kiện kỹ thuật, dữ liệu hoặc điều kiện giao dịch</w:t>
      </w:r>
      <w:r w:rsidRPr="00F10684">
        <w:rPr>
          <w:noProof/>
          <w:color w:val="000000" w:themeColor="text1"/>
          <w:sz w:val="26"/>
          <w:szCs w:val="26"/>
          <w:lang w:val="vi-VN"/>
        </w:rPr>
        <w:t>”</w:t>
      </w:r>
    </w:p>
    <w:p w14:paraId="4320A432"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Hành vi ưu tiên sản phẩm, dịch vụ do chính nền tảng hoặc doanh nghiệp trong cùng nhóm doanh nghiệp liên kết cung cấp thông qua thứ hạng hiển thị, thuật toán, điều kiện kỹ thuật, dữ liệu hoặc điều kiện giao dịch đã được ghi nhận và xử lý trong nhiều vụ việc điển hình trên thế giới. Tiêu biểu là vụ Google – Google Shopping, trong đó Ủy ban châu Âu kết luận Google đã ưu tiên dịch vụ so sánh giá của mình trong kết quả tìm kiếm, đồng thời làm giảm khả năng hiển thị của các dịch vụ cạnh tranh, qua đó vi phạm pháp luật cạnh tranh và bị xử phạt 2,42 tỷ EUR</w:t>
      </w:r>
      <w:r w:rsidRPr="00F10684">
        <w:rPr>
          <w:rStyle w:val="FootnoteReference"/>
          <w:noProof/>
          <w:color w:val="000000" w:themeColor="text1"/>
          <w:sz w:val="26"/>
          <w:szCs w:val="26"/>
          <w:lang w:val="vi-VN"/>
        </w:rPr>
        <w:footnoteReference w:id="47"/>
      </w:r>
      <w:r w:rsidRPr="00F10684">
        <w:rPr>
          <w:noProof/>
          <w:color w:val="000000" w:themeColor="text1"/>
          <w:sz w:val="26"/>
          <w:szCs w:val="26"/>
          <w:lang w:val="vi-VN"/>
        </w:rPr>
        <w:t>. Tương tự, trong vụ Amazon – Marketplace</w:t>
      </w:r>
      <w:r w:rsidRPr="00F10684">
        <w:rPr>
          <w:rStyle w:val="FootnoteReference"/>
          <w:noProof/>
          <w:color w:val="000000" w:themeColor="text1"/>
          <w:sz w:val="26"/>
          <w:szCs w:val="26"/>
          <w:lang w:val="vi-VN"/>
        </w:rPr>
        <w:footnoteReference w:id="48"/>
      </w:r>
      <w:r w:rsidRPr="00F10684">
        <w:rPr>
          <w:noProof/>
          <w:color w:val="000000" w:themeColor="text1"/>
          <w:sz w:val="26"/>
          <w:szCs w:val="26"/>
          <w:lang w:val="vi-VN"/>
        </w:rPr>
        <w:t>, Ủy ban châu Âu xác định Amazon đã sử dụng dữ liệu không công khai của người bán bên thứ ba và thiết kế cơ chế Buy Box theo hướng ưu tiên sản phẩm và dịch vụ logistics của chính mình, dẫn đến việc Amazon phải chấp thuận các cam kết chấm dứt hành vi năm 2022. Gần đây hơn, vụ Meta Platforms – Facebook Marketplace cho thấy việc tích hợp và ưu tiên dịch vụ rao vặt của nền tảng trên mạng xã hội Facebook, kết hợp với khai thác dữ liệu nền tảng, cũng bị coi là hành vi tạo lợi thế cạnh tranh không công bằng và bị xử phạt 797,7 triệu EUR vào năm 2024. Các vụ việc này cho thấy hành vi tự ưu tiên (self-preferencing) thông qua thuật toán, dữ liệu và điều kiện kỹ thuật là nguồn gốc trực tiếp của nguy cơ bóp méo cạnh tranh trên thị trường số, qua đó làm cơ sở thực tiễn cho việc bổ sung quy định cấm hành vi này trong khuôn khổ chính sách nhằm bảo vệ môi trường cạnh tranh công bằng và lành mạnh.</w:t>
      </w:r>
    </w:p>
    <w:p w14:paraId="76827294"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Tại Việt Nam, trong năm 2025 có khoảng 601.800 cửa hàng (shops) đang kinh doanh trên bốn sàn thương mại điện tử lớn gồm Shopee, TikTok Shop, Lazada và Tiki</w:t>
      </w:r>
      <w:r w:rsidRPr="00F10684">
        <w:rPr>
          <w:rStyle w:val="FootnoteReference"/>
          <w:noProof/>
          <w:color w:val="000000" w:themeColor="text1"/>
          <w:sz w:val="26"/>
          <w:szCs w:val="26"/>
          <w:lang w:val="vi-VN"/>
        </w:rPr>
        <w:footnoteReference w:id="49"/>
      </w:r>
      <w:r w:rsidRPr="00F10684">
        <w:rPr>
          <w:noProof/>
          <w:color w:val="000000" w:themeColor="text1"/>
          <w:sz w:val="26"/>
          <w:szCs w:val="26"/>
          <w:lang w:val="vi-VN"/>
        </w:rPr>
        <w:t>. Trong bối cảnh đó, việc quy định như tại điểm a dự thảo có ý nghĩa quan trọng đối với các tổ chức, cá nhân bán hàng trên sàn thương mại điện tử. Quy định này góp phần bảo đảm cơ hội tiếp cận người tiêu dùng một cách công bằng, hạn chế nguy cơ bị “đẩy xuống” trong kết quả hiển thị hoặc bị bất lợi do các yếu tố kỹ thuật không minh bạch, từ đó nâng cao khả năng cạnh tranh của người bán dựa trên chất lượng, giá cả và dịch vụ, thay vì phụ thuộc vào mối quan hệ với nền tảng. Về dài hạn, cơ chế này giúp ổn định môi trường kinh doanh trên sàn, giảm rủi ro phụ thuộc vào nền tảng chi phối và tạo điều kiện cho hàng trăm nghìn cửa hàng duy trì, mở rộng hoạt động kinh doanh bền vững.</w:t>
      </w:r>
    </w:p>
    <w:p w14:paraId="188A0507" w14:textId="77777777" w:rsidR="00966A0D"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w:t>
      </w:r>
      <w:r w:rsidRPr="00F10684">
        <w:rPr>
          <w:i/>
          <w:iCs/>
          <w:noProof/>
          <w:color w:val="000000" w:themeColor="text1"/>
          <w:sz w:val="26"/>
          <w:szCs w:val="26"/>
          <w:lang w:val="vi-VN"/>
        </w:rPr>
        <w:t>b) Áp đặt các điều kiện giao dịch bất hợp lý liên quan đến giá bán, phương thức thanh toán, bảo hành hoặc các điều kiện giao dịch khác</w:t>
      </w:r>
      <w:r w:rsidRPr="00F10684">
        <w:rPr>
          <w:noProof/>
          <w:color w:val="000000" w:themeColor="text1"/>
          <w:sz w:val="26"/>
          <w:szCs w:val="26"/>
          <w:lang w:val="vi-VN"/>
        </w:rPr>
        <w:t>”</w:t>
      </w:r>
    </w:p>
    <w:p w14:paraId="2F372B42"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lastRenderedPageBreak/>
        <w:t xml:space="preserve">Trong lĩnh vực thương mại điện tử, các nền tảng có khả năng quy định giá bán, mức phí, phương thức thanh toán, chính sách khuyến mại, hoàn trả và bảo hành, đồng thời gắn việc chấp nhận các điều kiện này với khả năng hiển thị, tiếp cận khách hàng của người bán. Trong lĩnh vực cửa hàng ứng dụng và nền tảng phân phối nội dung số, nền tảng Apple (App Store) và Google (Google Play) có khả năng áp đặt tỷ lệ chia sẻ doanh thu, yêu cầu sử dụng phương thức thanh toán độc quyền và kiểm soát điều kiện giá bán của nhà phát triển ứng dụng. Ngoài ra, các nền tảng trung gian số tích hợp nhiều dịch vụ (quảng cáo, thanh toán, phân phối) còn có khả năng ràng buộc, gộp dịch vụ hoặc chuyển dịch chi phí và rủi ro sang doanh nghiệp phụ thuộc. </w:t>
      </w:r>
    </w:p>
    <w:p w14:paraId="0FCB115F"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Điểm chung của các nền tảng này là nắm giữ vai trò “gác cổng”, khiến doanh nghiệp khó tìm kênh thay thế tương đương; vì vậy, quy định được thiết kế nhằm hạn chế việc lợi dụng vị thế đó để áp đặt điều kiện giao dịch bất lợi, bảo đảm cạnh tranh công bằng và minh bạch trên thị trường số.</w:t>
      </w:r>
    </w:p>
    <w:p w14:paraId="5D97B803"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t>“c) Áp đặt, ép buộc người dùng phải đăng ký, sử dụng hoặc duy trì việc sử dụng một hoặc một số dịch vụ khác do chủ quản nền tảng số hoặc doanh nghiệp thuộc nhóm doanh nghiệp liên kết với chủ quản nền tảng cung cấp như điều kiện để được tiếp cận, duy trì quyền truy cập nền tảng số hoặc duy trì, mở rộng, phát triển hoạt động kinh doanh trên nền tảng số”</w:t>
      </w:r>
    </w:p>
    <w:p w14:paraId="3A85EB8A"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Đối với hành vi áp đặt, ép buộc người dùng phải đăng ký, sử dụng hoặc duy trì việc sử dụng một hoặc một số dịch vụ khác của chính nền tảng hoặc doanh nghiệp liên kết như điều kiện để được tiếp cận, duy trì quyền truy cập hoặc mở rộng hoạt động kinh doanh trên nền tảng số, đây là hành vi ràng buộc/gộp dịch vụ mang tính cưỡng ép (tying/bundling), chủ yếu hướng tới các nền tảng số giữ vai trò “gác cổng” và kiểm soát hệ sinh thái khép kín. </w:t>
      </w:r>
    </w:p>
    <w:p w14:paraId="1070CF3B"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Điển hình là các nền tảng thương mại điện tử và nền tảng phân phối ứng dụng, nơi nền tảng có khả năng buộc người bán hoặc nhà phát triển phải sử dụng dịch vụ thanh toán, quảng cáo, logistics, lưu trữ dữ liệu hoặc các công cụ nội bộ nếu muốn duy trì thứ hạng hiển thị, tiếp cận khách hàng hoặc tiếp tục kinh doanh. Hành vi này cũng xuất hiện ở các nền tảng hệ điều hành và hệ sinh thái thiết bị, khi việc sử dụng dịch vụ lõi (app store, thanh toán, tìm kiếm) bị gắn chặt với các dịch vụ bổ trợ khác của cùng nhóm doanh nghiệp, khiến doanh nghiệp và người dùng không có lựa chọn thay thế thực chất.</w:t>
      </w:r>
    </w:p>
    <w:p w14:paraId="27764C11"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Xét về tác động cạnh tranh, hành vi ép buộc sử dụng dịch vụ kèm theo làm gia tăng chi phí, thu hẹp lựa chọn, loại trừ dịch vụ cạnh tranh và củng cố sức mạnh thị trường của nền tảng, do đó quy định cấm nhằm bảo vệ quyền lựa chọn, ngăn chặn việc mở rộng quyền lực thị trường một cách không dựa trên hiệu quả, và duy trì môi trường cạnh tranh công bằng trên thị trường số.</w:t>
      </w:r>
    </w:p>
    <w:p w14:paraId="2A471038"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w:t>
      </w:r>
      <w:r w:rsidRPr="00F10684">
        <w:rPr>
          <w:i/>
          <w:iCs/>
          <w:noProof/>
          <w:color w:val="000000" w:themeColor="text1"/>
          <w:sz w:val="26"/>
          <w:szCs w:val="26"/>
          <w:lang w:val="vi-VN"/>
        </w:rPr>
        <w:t>d) Ngăn cản hoặc làm giảm khả năng người dùng kinh doanh tiếp cận nền tảng khác có khả năng thay thế</w:t>
      </w:r>
      <w:r w:rsidRPr="00F10684">
        <w:rPr>
          <w:noProof/>
          <w:color w:val="000000" w:themeColor="text1"/>
          <w:sz w:val="26"/>
          <w:szCs w:val="26"/>
          <w:lang w:val="vi-VN"/>
        </w:rPr>
        <w:t>”</w:t>
      </w:r>
    </w:p>
    <w:p w14:paraId="076793BD"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Một vụ việc điển hình trên thế giới liên quan đến hành vi ngăn cản hoặc làm giảm khả năng người dùng kinh doanh tiếp cận nền tảng khác có khả năng thay thế là vụ việc </w:t>
      </w:r>
      <w:r w:rsidRPr="00F10684">
        <w:rPr>
          <w:noProof/>
          <w:color w:val="000000" w:themeColor="text1"/>
          <w:sz w:val="26"/>
          <w:szCs w:val="26"/>
          <w:lang w:val="vi-VN"/>
        </w:rPr>
        <w:lastRenderedPageBreak/>
        <w:t>đối với Booking.com tại Đức. Trong vụ việc này, Booking.com áp dụng các điều khoản đảm bảo giá tốt nhất (price parity/MFN clauses), theo đó các khách sạn không được phép cung cấp giá hoặc điều kiện tốt hơn trên website riêng của mình hoặc trên các nền tảng đặt phòng cạnh tranh khác. Cơ quan Cạnh tranh Liên bang Đức (Bundeskartellamt) kết luận rằng các điều khoản này làm suy giảm khả năng đa nền tảng (multi-homing) của khách sạn, hạn chế cạnh tranh giữa các nền tảng đặt phòng trực tuyến và vi phạm pháp luật cạnh tranh. Theo văn bản số B9-121/13 ngày 22/12/2015</w:t>
      </w:r>
      <w:r w:rsidRPr="00F10684">
        <w:rPr>
          <w:rStyle w:val="FootnoteReference"/>
          <w:noProof/>
          <w:color w:val="000000" w:themeColor="text1"/>
          <w:sz w:val="26"/>
          <w:szCs w:val="26"/>
          <w:lang w:val="vi-VN"/>
        </w:rPr>
        <w:footnoteReference w:id="50"/>
      </w:r>
      <w:r w:rsidRPr="00F10684">
        <w:rPr>
          <w:noProof/>
          <w:color w:val="000000" w:themeColor="text1"/>
          <w:sz w:val="26"/>
          <w:szCs w:val="26"/>
          <w:lang w:val="vi-VN"/>
        </w:rPr>
        <w:t>, Bundeskartellamt đã cấm hoàn toàn Booking.com tiếp tục áp dụng các điều khoản “giá tốt nhất”. Vụ việc này được coi là tiền lệ quan trọng trong việc xử lý hành vi khóa chặt người dùng kinh doanh và cản trở tiếp cận nền tảng thay thế, và là cơ sở tham chiếu cho nhiều quốc gia cũng như cho các quy định hiện hành của Liên minh châu Âu về nền tảng số.</w:t>
      </w:r>
    </w:p>
    <w:p w14:paraId="12004093"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Việc mở rộng xem xét và kiểm soát hành vi khóa chặt người dùng kinh doanh trong bối cảnh nền kinh tế số là cần thiết, đặc biệt tại Việt Nam, nơi nhiều doanh nghiệp, tổ chức và cá nhân kinh doanh đang phụ thuộc ngày càng lớn vào một hoặc một số nền tảng trung gian số để tiếp cận khách hàng. Trong điều kiện thị trường như vậy, quy định cấm hành vi ngăn cản hoặc làm giảm khả năng người dùng kinh doanh tiếp cận các nền tảng khác có khả năng thay thế sẽ mang lại tác động tích cực rõ rệt cho các chủ thể kinh doanh trong nước.</w:t>
      </w:r>
    </w:p>
    <w:p w14:paraId="60632C98"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Đối tượng hưởng lợi trực tiếp là các doanh nghiệp, tổ chức và cá nhân cung cấp hàng hóa, dịch vụ thông qua nền tảng số, đặc biệt trong các lĩnh vực có mức độ phụ thuộc cao vào nền tảng trung gian như du lịch – lưu trú, vận tải, thương mại điện tử, dịch vụ số và nội dung số. Quy định này giúp bảo đảm quyền tiếp cận đa nền tảng (multi-homing) của người dùng kinh doanh, cho phép họ chủ động lựa chọn và kết hợp nhiều kênh phân phối khác nhau, bao gồm nền tảng trung gian, website riêng hoặc các nền tảng cạnh tranh, mà không bị áp đặt các điều kiện ràng buộc bất lợi.</w:t>
      </w:r>
    </w:p>
    <w:p w14:paraId="7C5123D6"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các nền tảng số mới và nền tảng có khả năng thay thế cũng là nhóm hưởng lợi quan trọng, do việc loại bỏ các rào cản mang tính khóa chặt sẽ tạo điều kiện cho cạnh tranh giữa các nền tảng, khuyến khích cải thiện chất lượng dịch vụ, mức phí và các điều kiện giao dịch. Về dài hạn, môi trường cạnh tranh cởi mở hơn sẽ giảm sự phụ thuộc mang tính cấu trúc vào nền tảng chi phối, thúc đẩy đổi mới sáng tạo và mở rộng cơ hội phát triển cho các doanh nghiệp trong nước.</w:t>
      </w:r>
    </w:p>
    <w:p w14:paraId="281D298A"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Ngoài ra, người tiêu dùng cuối cùng cũng được hưởng lợi gián tiếp thông qua việc đa dạng hóa kênh cung ứng, tăng tính cạnh tranh về giá và chất lượng dịch vụ, khi người dùng kinh doanh không bị buộc phải tập trung hoạt động trên một nền tảng duy nhất. Như vậy, việc kiểm soát hành vi khóa chặt người dùng kinh doanh không chỉ phù hợp với thông lệ quốc tế, như tiền lệ vụ Booking.com, mà còn góp phần bảo vệ quyền tự do kinh doanh trên thực tế, nâng cao hiệu quả vận hành của thị trường và thúc đẩy sự phát triển lành mạnh của nền kinh tế số tại Việt Nam.</w:t>
      </w:r>
    </w:p>
    <w:p w14:paraId="3419CC3E"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lastRenderedPageBreak/>
        <w:t>“đ) Ngăn cản hoặc gây khó khăn bất hợp lý trực tiếp hoặc gián tiếp cho người sử dụng trong việc gỡ bỏ ứng dụng, dịch vụ cài đặt sẵn hoặc thay thế bằng dịch vụ cạnh tranh, trừ trường hợp cần thiết để bảo đảm an toàn thông tin mạng hoặc vận hành thiết yếu.”</w:t>
      </w:r>
    </w:p>
    <w:p w14:paraId="7CBACB6A"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Tính đến cuối năm 2024, Việt Nam có khoảng 73.788 – 80.000 doanh nghiệp công nghệ số đang hoạt động, bao gồm nhiều doanh nghiệp phát triển phần mềm, dịch vụ số, nội dung số và các giải pháp ứng dụng</w:t>
      </w:r>
      <w:r w:rsidRPr="00F10684">
        <w:rPr>
          <w:rStyle w:val="FootnoteReference"/>
          <w:noProof/>
          <w:color w:val="000000" w:themeColor="text1"/>
          <w:sz w:val="26"/>
          <w:szCs w:val="26"/>
          <w:lang w:val="vi-VN"/>
        </w:rPr>
        <w:footnoteReference w:id="51"/>
      </w:r>
      <w:r w:rsidRPr="00F10684">
        <w:rPr>
          <w:noProof/>
          <w:color w:val="000000" w:themeColor="text1"/>
          <w:sz w:val="26"/>
          <w:szCs w:val="26"/>
          <w:lang w:val="vi-VN"/>
        </w:rPr>
        <w:t>. Trong nhóm này, một phần đáng kể là doanh nghiệp phát triển ứng dụng (mobile/web app) bởi Việt Nam là một trong những thị trường phát triển app nhanh nhất khu vực và có hơn 150–200 công ty chuyên cung cấp dịch vụ phát triển ứng dụng di động, web và phần mềm đã được đưa vào các danh sách chuyên ngành.</w:t>
      </w:r>
    </w:p>
    <w:p w14:paraId="1CD41B15"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Tuy nhiên, các doanh nghiệp cung cấp dịch vụ số và phát triển ứng dụng trong nước hiện phụ thuộc đáng kể vào các nền tảng có quyền kiểm soát lớp hạ tầng, đặc biệt là các nền tảng kiểm soát hệ điều hành, phần mềm hệ thống và hệ sinh thái thiết bị. Nhóm nền tảng bị tác động rõ nhất bao gồm nền tảng hệ điều hành di động, điển hình là Apple (iOS) và Google (Android), là những nền tảng có khả năng cài đặt sẵn (pre-install) các ứng dụng và dịch vụ lõi như trình duyệt, công cụ tìm kiếm, cửa hàng ứng dụng, trợ lý ảo, dịch vụ thanh toán, đồng thời kiểm soát sâu hành vi người dùng ở cấp hệ thống. Việc hạn chế gỡ bỏ ứng dụng mặc định, thiết lập ứng dụng của nền tảng làm lựa chọn mặc định hoặc tạo ra các rào cản kỹ thuật khi thay thế bằng dịch vụ cạnh tranh tác động trực tiếp đến khả năng cạnh tranh và tiếp cận người dùng của các ứng dụng, dịch vụ số bên thứ ba. </w:t>
      </w:r>
    </w:p>
    <w:p w14:paraId="4A811E3D"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nền tảng hệ điều hành máy tính và phần mềm hệ thống, tiêu biểu là Microsoft (Windows), cũng có ảnh hưởng đáng kể khi tích hợp sâu các dịch vụ như trình duyệt, công cụ tìm kiếm hoặc dịch vụ hệ thống, khiến người dùng gặp khó khăn trong việc thay đổi dịch vụ mặc định, đồng thời làm giảm khả năng tiếp cận người dùng cuối của các doanh nghiệp cung cấp dịch vụ cạnh tranh. Ngoài ra, trong các hệ sinh thái thiết bị thông minh và dịch vụ số tích hợp – nơi nền tảng đồng thời cung cấp thiết bị, hệ điều hành và dịch vụ trong một hệ sinh thái khép kín (như điện thoại thông minh, TV thông minh, thiết bị IoT) – việc hạn chế cài đặt hoặc thay thế dịch vụ cạnh tranh có thể triệt tiêu khả năng gia nhập và mở rộng thị trường của các doanh nghiệp bên thứ ba, làm gia tăng mức độ phụ thuộc và rủi ro cạnh tranh trong nền kinh tế số.</w:t>
      </w:r>
    </w:p>
    <w:p w14:paraId="681E1D9D"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Trong bối cảnh đó, việc bổ sung và thực thi các quy định cấm hành vi ngăn cản hoặc gây khó khăn bất hợp lý cho người sử dụng trong việc gỡ bỏ ứng dụng, dịch vụ cài đặt sẵn hoặc thay thế bằng dịch vụ cạnh tranh sẽ mang lại tác động tích cực rõ rệt đối với hệ sinh thái doanh nghiệp công nghệ số trong nước. Quy định này góp phần giảm mức độ phụ thuộc mang tính cấu trúc của các doanh nghiệp phát triển ứng dụng và cung cấp dịch vụ số vào các nền tảng kiểm soát lớp hạ tầng, qua đó mở rộng khả năng tiếp </w:t>
      </w:r>
      <w:r w:rsidRPr="00F10684">
        <w:rPr>
          <w:noProof/>
          <w:color w:val="000000" w:themeColor="text1"/>
          <w:sz w:val="26"/>
          <w:szCs w:val="26"/>
          <w:lang w:val="vi-VN"/>
        </w:rPr>
        <w:lastRenderedPageBreak/>
        <w:t>cận người dùng cuối trên cơ sở cạnh tranh công bằng.</w:t>
      </w:r>
    </w:p>
    <w:p w14:paraId="54826864"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Đối với doanh nghiệp phát triển ứng dụng, phần mềm và dịch vụ số trong nước, việc hạn chế các rào cản kỹ thuật và hành vi “khóa chặt” người dùng giúp tăng cơ hội phân phối sản phẩm, dịch vụ thông qua nhiều kênh và lựa chọn thay thế, thay vì bị lệ thuộc vào các ứng dụng hoặc dịch vụ mặc định của một nền tảng nhất định. Điều này tạo điều kiện để doanh nghiệp cạnh tranh dựa trên chất lượng, tính năng, giá cả và đổi mới sáng tạo, từ đó nâng cao khả năng mở rộng quy mô, thu hút đầu tư và phát triển bền vững.</w:t>
      </w:r>
    </w:p>
    <w:p w14:paraId="25964FF0"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Bên cạnh đó, việc tăng cường khả năng thay thế và lựa chọn dịch vụ cạnh tranh cũng góp phần khuyến khích đầu tư vào nghiên cứu, phát triển và nâng cao năng lực công nghệ nội địa, thúc đẩy hình thành các sản phẩm, dịch vụ số “Make in Vietnam”. Về dài hạn, môi trường cạnh tranh cởi mở hơn sẽ gia tăng động lực khởi nghiệp, thu hút nguồn nhân lực chất lượng cao, đồng thời giảm rủi ro bị loại trừ khỏi thị trường do các yếu tố kỹ thuật hoặc vị thế chi phối của nền tảng.</w:t>
      </w:r>
    </w:p>
    <w:p w14:paraId="1DAB9F19"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Như vậy, xét tổng thể, các quy định nêu trên không chỉ bảo vệ quyền lựa chọn của người dùng, mà còn tạo nền tảng pháp lý thuận lợi để doanh nghiệp công nghệ số và doanh nghiệp phát triển ứng dụng trong nước nâng cao khả năng cạnh tranh, đóng góp tích cực vào sự phát triển của nền kinh tế số Việt Nam theo hướng lành mạnh, bền vững và dựa trên đổi mới sáng tạo.</w:t>
      </w:r>
    </w:p>
    <w:p w14:paraId="34FF9CCA"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w:t>
      </w:r>
      <w:r w:rsidRPr="00F10684">
        <w:rPr>
          <w:i/>
          <w:iCs/>
          <w:noProof/>
          <w:color w:val="000000" w:themeColor="text1"/>
          <w:sz w:val="26"/>
          <w:szCs w:val="26"/>
          <w:lang w:val="vi-VN"/>
        </w:rPr>
        <w:t>e) Từ chối cung cấp hoặc áp đặt điều kiện, chi phí bất hợp lý để người dùng kinh doanh được quyền truy cập, khai thác dữ liệu phát sinh từ hoạt động kinh doanh hợp pháp của họ trên nền tảng số</w:t>
      </w:r>
      <w:r w:rsidRPr="00F10684">
        <w:rPr>
          <w:noProof/>
          <w:color w:val="000000" w:themeColor="text1"/>
          <w:sz w:val="26"/>
          <w:szCs w:val="26"/>
          <w:lang w:val="vi-VN"/>
        </w:rPr>
        <w:t>”.</w:t>
      </w:r>
    </w:p>
    <w:p w14:paraId="5418EAB2"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Trong nền kinh tế số, dữ liệu phát sinh từ hoạt động sản xuất, kinh doanh hợp pháp của doanh nghiệp trên nền tảng số ngày càng trở thành một nguồn lực kinh tế quan trọng, có giá trị tương đương với các yếu tố đầu vào truyền thống như vốn, lao động và công nghệ. Dữ liệu về giao dịch, khách hàng, hành vi tiêu dùng, đánh giá, phản hồi và hiệu quả kinh doanh không chỉ là cơ sở để doanh nghiệp tối ưu hóa hoạt động, cải thiện chất lượng sản phẩm, dịch vụ, mà còn là nền tảng cho đổi mới sáng tạo, phát triển mô hình kinh doanh mới và nâng cao năng lực cạnh tranh. Trên thực tế, dữ liệu này được hình thành từ chính hoạt động kinh doanh của doanh nghiệp và có thể được coi là một dạng tài sản kinh doanh hợp pháp, gắn liền với quyền và lợi ích chính đáng của người dùng kinh doanh. Do đó, việc nền tảng số từ chối cung cấp hoặc áp đặt các điều kiện, chi phí bất hợp lý để doanh nghiệp được truy cập, khai thác dữ liệu của chính mình có thể làm suy giảm hiệu quả sản xuất, kinh doanh, gia tăng sự phụ thuộc vào nền tảng và tạo lợi thế cạnh tranh không công bằng, đặt ra yêu cầu cần có cơ chế pháp lý phù hợp để bảo vệ quyền tiếp cận và khai thác dữ liệu hợp pháp của doanh nghiệp trong môi trường số.</w:t>
      </w:r>
    </w:p>
    <w:p w14:paraId="1C60CF85"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Việc bảo đảm quyền truy cập và khai thác dữ liệu phát sinh từ hoạt động kinh doanh trên nền tảng số mang lại lợi ích trực tiếp cho các doanh nghiệp, tổ chức và cá nhân kinh doanh, đặc biệt là doanh nghiệp nhỏ và vừa, doanh nghiệp khởi nghiệp, doanh </w:t>
      </w:r>
      <w:r w:rsidRPr="00F10684">
        <w:rPr>
          <w:noProof/>
          <w:color w:val="000000" w:themeColor="text1"/>
          <w:sz w:val="26"/>
          <w:szCs w:val="26"/>
          <w:lang w:val="vi-VN"/>
        </w:rPr>
        <w:lastRenderedPageBreak/>
        <w:t>nghiệp phát triển ứng dụng và các tổ chức, cá nhân bán hàng trên sàn thương mại điện tử và nền tảng trung gian số.</w:t>
      </w:r>
    </w:p>
    <w:p w14:paraId="6D3043ED"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noProof/>
          <w:color w:val="000000" w:themeColor="text1"/>
          <w:sz w:val="26"/>
          <w:szCs w:val="26"/>
          <w:lang w:val="vi-VN"/>
        </w:rPr>
        <w:t xml:space="preserve">Tiêu cực: </w:t>
      </w:r>
    </w:p>
    <w:p w14:paraId="2CA5F798"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Bên cạnh các tác động tích cực, Chính sách 2 cũng có thể phát sinh một số tác động tiêu cực nhất định đối với hoạt động sản xuất, kinh doanh, đặc biệt trong ngắn hạn và đối với nhóm nền tảng số quy mô lớn, quy mô rất lớn thuộc diện điều chỉnh.</w:t>
      </w:r>
    </w:p>
    <w:p w14:paraId="119E4613"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pacing w:val="-2"/>
          <w:sz w:val="26"/>
          <w:szCs w:val="26"/>
          <w:lang w:val="vi-VN"/>
        </w:rPr>
        <w:t>+ Đối với Nhà nước</w:t>
      </w:r>
      <w:r w:rsidRPr="00F10684">
        <w:rPr>
          <w:noProof/>
          <w:color w:val="000000" w:themeColor="text1"/>
          <w:spacing w:val="-2"/>
          <w:sz w:val="26"/>
          <w:szCs w:val="26"/>
          <w:lang w:val="vi-VN"/>
        </w:rPr>
        <w:t>: việc triển khai cơ chế “tiền kiểm” đòi hỏi gia tăng nguồn lực quản lý, giám sát và thực thi, bao gồm chi phí tổ chức bộ máy, nhân sự chuyên môn, hạ tầng công nghệ phục vụ thu thập, xử lý và phân tích dữ liệu thị trường số. Trong bối cảnh các hành vi bị điều chỉnh có tính chất kỹ thuật cao, liên quan đến thuật toán, dữ liệu và mô hình kinh doanh phức tạp, chi phí quản lý và rủi ro quá tải trong giai đoạn đầu thực thi là vấn đề cần được tính đến. Ngoài ra, việc áp dụng các nghĩa vụ tiền kiểm có thể làm gia tăng nguy cơ khiếu nại, tranh chấp hành chính, đòi hỏi Nhà nước phải dành thêm nguồn lực xử lý.</w:t>
      </w:r>
    </w:p>
    <w:p w14:paraId="1E9C12B2"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F10684">
        <w:rPr>
          <w:i/>
          <w:iCs/>
          <w:noProof/>
          <w:color w:val="000000" w:themeColor="text1"/>
          <w:sz w:val="26"/>
          <w:szCs w:val="26"/>
          <w:lang w:val="vi-VN"/>
        </w:rPr>
        <w:t>+ Đối với doanh nghiệp</w:t>
      </w:r>
      <w:r w:rsidRPr="00F10684">
        <w:rPr>
          <w:noProof/>
          <w:color w:val="000000" w:themeColor="text1"/>
          <w:sz w:val="26"/>
          <w:szCs w:val="26"/>
          <w:lang w:val="vi-VN"/>
        </w:rPr>
        <w:t>: Doanh nghiệp là các nền tảng số có sức mạnh thị trường đáng kể, chính sách có thể làm tăng chi phí tuân thủ do phải điều chỉnh mô hình kinh doanh, hệ thống kỹ thuật, thuật toán, điều khoản giao dịch và cơ chế quản trị dữ liệu để phù hợp với các quy định mới. Một số nền tảng có thể phải đầu tư bổ sung vào công nghệ, pháp lý và nhân sự nhằm đáp ứng yêu cầu kê khai, báo cáo và chứng minh tuân thủ, làm gia tăng chi phí hoạt động trong ngắn hạn. Trong trường hợp quy định và hướng dẫn thực thi chưa đủ rõ ràng, doanh nghiệp cũng có thể đối mặt với rủi ro pháp lý và chi phí tuân thủ không chắc chắn, ảnh hưởng đến kế hoạch đầu tư và mở rộng kinh doanh.</w:t>
      </w:r>
    </w:p>
    <w:p w14:paraId="73BA26D0"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Nếu việc áp dụng cơ chế tiền kiểm không được thiết kế và thực thi thận trọng, có thể phát sinh lo ngại về mức độ can thiệp hành chính vào hoạt động kinh doanh, đặc biệt đối với các nhà đầu tư nước ngoài trong lĩnh vực công nghệ và nền tảng số. Điều này có thể làm chậm một số quyết định đầu tư trong ngắn hạn, nhất là đối với các mô hình kinh doanh mới chưa có tiền lệ rõ ràng trong pháp luật.</w:t>
      </w:r>
    </w:p>
    <w:p w14:paraId="1D86DD60" w14:textId="77777777" w:rsidR="00F10684" w:rsidRPr="00F10684" w:rsidRDefault="00A97C72"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i/>
          <w:iCs/>
          <w:noProof/>
          <w:color w:val="000000" w:themeColor="text1"/>
          <w:sz w:val="26"/>
          <w:szCs w:val="26"/>
          <w:lang w:val="vi-VN"/>
        </w:rPr>
        <w:t>+ Đối với tổ chức, cá nhân sử dụng nền tảng</w:t>
      </w:r>
      <w:r w:rsidRPr="00F10684">
        <w:rPr>
          <w:noProof/>
          <w:color w:val="000000" w:themeColor="text1"/>
          <w:sz w:val="26"/>
          <w:szCs w:val="26"/>
          <w:lang w:val="vi-VN"/>
        </w:rPr>
        <w:t>: Chi phí tuân thủ gia tăng của nền tảng có thể được chuyển dịch một phần sang người dùng kinh doanh hoặc người tiêu dùng cuối, thông qua việc điều chỉnh phí dịch vụ, phí quảng cáo, hoa hồng hoặc các chi phí liên quan khác. Trong giai đoạn đầu triển khai, người dùng kinh doanh cũng có thể phải thích ứng với các thay đổi về quy trình, điều khoản hoặc công cụ vận hành của nền tảng, làm phát sinh chi phí giao dịch và chi phí chuyển đổi nhất định.</w:t>
      </w:r>
    </w:p>
    <w:p w14:paraId="65755F80" w14:textId="77777777" w:rsidR="00F10684" w:rsidRDefault="000F0D45"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b/>
          <w:bCs/>
          <w:i/>
          <w:iCs/>
          <w:noProof/>
          <w:color w:val="000000" w:themeColor="text1"/>
          <w:sz w:val="26"/>
          <w:szCs w:val="26"/>
          <w:lang w:val="vi-VN"/>
        </w:rPr>
        <w:t xml:space="preserve">- </w:t>
      </w:r>
      <w:r w:rsidR="00A97C72" w:rsidRPr="00F10684">
        <w:rPr>
          <w:b/>
          <w:bCs/>
          <w:i/>
          <w:iCs/>
          <w:noProof/>
          <w:color w:val="000000" w:themeColor="text1"/>
          <w:sz w:val="26"/>
          <w:szCs w:val="26"/>
          <w:lang w:val="vi-VN"/>
        </w:rPr>
        <w:t xml:space="preserve">Tác động về giới: </w:t>
      </w:r>
      <w:r w:rsidR="00A97C72" w:rsidRPr="00F10684">
        <w:rPr>
          <w:noProof/>
          <w:color w:val="000000" w:themeColor="text1"/>
          <w:sz w:val="26"/>
          <w:szCs w:val="26"/>
          <w:lang w:val="vi-VN"/>
        </w:rPr>
        <w:t>Chính sách không tạo ra sự phân biệt đối xử về giới, không đặt ra quy định riêng đối với nam hoặc nữ, tác động của chính sách là trung tính về giới</w:t>
      </w:r>
    </w:p>
    <w:p w14:paraId="7BF71D22" w14:textId="77777777" w:rsidR="00F10684" w:rsidRPr="006400D7" w:rsidRDefault="000F0D45" w:rsidP="00F10684">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b/>
          <w:bCs/>
          <w:i/>
          <w:iCs/>
          <w:noProof/>
          <w:color w:val="000000" w:themeColor="text1"/>
          <w:sz w:val="26"/>
          <w:szCs w:val="26"/>
          <w:lang w:val="vi-VN"/>
        </w:rPr>
        <w:t xml:space="preserve">- </w:t>
      </w:r>
      <w:r w:rsidR="00A97C72" w:rsidRPr="00F10684">
        <w:rPr>
          <w:b/>
          <w:bCs/>
          <w:i/>
          <w:iCs/>
          <w:noProof/>
          <w:color w:val="000000" w:themeColor="text1"/>
          <w:sz w:val="26"/>
          <w:szCs w:val="26"/>
          <w:lang w:val="vi-VN"/>
        </w:rPr>
        <w:t>Tác động</w:t>
      </w:r>
      <w:r w:rsidR="00A97C72" w:rsidRPr="00ED5E38">
        <w:rPr>
          <w:b/>
          <w:bCs/>
          <w:i/>
          <w:iCs/>
          <w:noProof/>
          <w:color w:val="000000" w:themeColor="text1"/>
          <w:sz w:val="26"/>
          <w:szCs w:val="26"/>
          <w:lang w:val="vi-VN"/>
        </w:rPr>
        <w:t xml:space="preserve"> về thủ tục hành chính: </w:t>
      </w:r>
      <w:r w:rsidR="00A97C72" w:rsidRPr="00ED5E38">
        <w:rPr>
          <w:noProof/>
          <w:color w:val="000000" w:themeColor="text1"/>
          <w:sz w:val="26"/>
          <w:szCs w:val="26"/>
          <w:lang w:val="vi-VN"/>
        </w:rPr>
        <w:t>Không có.</w:t>
      </w:r>
    </w:p>
    <w:p w14:paraId="6DD04A51" w14:textId="16D26F6C" w:rsidR="006400D7" w:rsidRPr="006400D7" w:rsidRDefault="006400D7" w:rsidP="006400D7">
      <w:pPr>
        <w:pStyle w:val="Heading1"/>
        <w:rPr>
          <w:color w:val="000000" w:themeColor="text1"/>
          <w:lang w:val="en-US"/>
        </w:rPr>
      </w:pPr>
      <w:r w:rsidRPr="006400D7">
        <w:t>2.</w:t>
      </w:r>
      <w:r w:rsidR="00D31383">
        <w:rPr>
          <w:lang w:val="en-US"/>
        </w:rPr>
        <w:t>3</w:t>
      </w:r>
      <w:r w:rsidRPr="006400D7">
        <w:t>.1.1.2. Giải pháp tối ưu được lựa chọn và lý do lựa chọn giải pháp</w:t>
      </w:r>
    </w:p>
    <w:p w14:paraId="56403C0F" w14:textId="77777777" w:rsidR="00F10684" w:rsidRPr="00F10684"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t xml:space="preserve">Trên cơ sở so sánh hai giải pháp nêu trên, có thể thấy: </w:t>
      </w:r>
    </w:p>
    <w:p w14:paraId="0F3F6D2B" w14:textId="77777777" w:rsidR="00F10684"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F10684">
        <w:rPr>
          <w:noProof/>
          <w:color w:val="000000" w:themeColor="text1"/>
          <w:sz w:val="26"/>
          <w:szCs w:val="26"/>
          <w:lang w:val="vi-VN"/>
        </w:rPr>
        <w:lastRenderedPageBreak/>
        <w:t>Về mục tiêu chính</w:t>
      </w:r>
      <w:r w:rsidRPr="00ED5E38">
        <w:rPr>
          <w:noProof/>
          <w:color w:val="000000" w:themeColor="text1"/>
          <w:sz w:val="26"/>
          <w:szCs w:val="26"/>
          <w:lang w:val="vi-VN"/>
        </w:rPr>
        <w:t xml:space="preserve"> sách, cả Giải pháp 1 và Giải pháp 2 đều hướng tới mục tiêu hoàn thiện khuôn khổ pháp luật cạnh tranh nhằm nâng cao hiệu quả kiểm soát các hành vi hạn chế cạnh tranh và cạnh tranh không lành mạnh trong bối cảnh phát triển của kinh tế số và sự gia tăng vai trò của các nền tảng số trên thị trường. Hai giải pháp đều nhằm bảo đảm môi trường cạnh tranh lành mạnh, bảo vệ quyền lựa chọn của người tiêu dùng và tạo điều kiện cho doanh nghiệp, đặc biệt là doanh nghiệp nhỏ và vừa, tham gia thị trường một cách công bằng.</w:t>
      </w:r>
    </w:p>
    <w:p w14:paraId="1BF1E1AA" w14:textId="77777777" w:rsid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rPr>
      </w:pPr>
      <w:r w:rsidRPr="00ED5E38">
        <w:rPr>
          <w:noProof/>
          <w:color w:val="000000" w:themeColor="text1"/>
          <w:sz w:val="26"/>
          <w:szCs w:val="26"/>
          <w:lang w:val="vi-VN"/>
        </w:rPr>
        <w:t>Tuy nhiên, hai giải pháp có sự khác biệt đáng kể về mức độ can thiệp của Nhà nước, cách thức điều tiết và yêu cầu nguồn lực thực thi.</w:t>
      </w:r>
    </w:p>
    <w:p w14:paraId="15ED93BE"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Về cách tiếp cận điều tiết, Giải pháp 1 tiếp tục hoàn thiện cơ chế hậu kiểm của pháp luật cạnh tranh hiện hành, theo đó việc xử lý hành vi vi phạm được thực hiện trên cơ sở điều tra, đánh giá tác động hạn chế cạnh tranh cụ thể và áp dụng chế tài sau khi có dấu hiệu vi phạm rõ ràng. Cách tiếp cận này phù hợp với bản chất của pháp luật cạnh tranh truyền thống, bảo đảm nguyên tắc thận trọng trong can thiệp của Nhà nước và hạn chế nguy cơ ảnh hưởng không cần thiết đến quyền tự do kinh doanh. Giải pháp 2 bổ sung cơ chế tiền kiểm đối với các nền tảng số quy mô lớn, quy mô rất lớn thông qua việc thiết lập các nghĩa vụ phòng ngừa và nhóm hành vi bị cấm mặc nhiên. Mặc dù cách tiếp cận này có ưu điểm về ngăn ngừa sớm rủi ro, nhưng đồng thời làm gia tăng mức độ can thiệp hành chính và đòi hỏi hệ thống tiêu chí xác định đối tượng áp dụng phải thật sự rõ ràng, ổn định.</w:t>
      </w:r>
    </w:p>
    <w:p w14:paraId="2A960E57"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Về hiệu quả và tính khả thi trong thực thi, với Giải pháp 1, cơ chế thực thi dựa trên quy trình điều tra cạnh tranh đã được thiết lập và vận hành ổn định trong thời gian qua, do đó có </w:t>
      </w:r>
      <w:r w:rsidRPr="006400D7">
        <w:rPr>
          <w:noProof/>
          <w:color w:val="000000" w:themeColor="text1"/>
          <w:sz w:val="26"/>
          <w:szCs w:val="26"/>
          <w:lang w:val="vi-VN"/>
        </w:rPr>
        <w:t>tính khả thi cao, không đòi hỏi thay đổi lớn về tổ chức bộ máy, quy trình nghiệp vụ hay nguồn lực chuyên môn. Việc tiếp tục hoàn thiện các quy định về xác định thị trường liên quan, sức mạnh thị trường và hành vi vi phạm có thể giúp nâng cao hiệu quả hậu kiểm mà không tạo ra xáo trộn đáng kể đối với hệ thống thực thi hiện hành.</w:t>
      </w:r>
    </w:p>
    <w:p w14:paraId="65D61617"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Trong khi đó, Giải pháp 2 yêu cầu thiết lập cơ chế giám sát chủ động, thu thập và phân tích dữ liệu thị trường quy mô lớn, cũng như năng lực đánh giá các tiêu chí kỹ thuật phức tạp liên quan đến vai trò “gác cổng”, quy mô kinh tế và tính bền vững của quyền lực thị trường. Trong điều kiện nguồn lực thực thi còn hạn chế và dữ liệu thị trường số chưa đầy đủ, việc triển khai ngay cơ chế tiền kiểm có thể gặp khó khăn và tiềm ẩn rủi ro áp dụng không thống nhất.</w:t>
      </w:r>
    </w:p>
    <w:p w14:paraId="5EDDF494"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Về phạm vi tác động và gánh nặng tuân thủ, Giải pháp 1 áp dụng chung theo nguyên tắc của pháp luật cạnh tranh, không thiết lập thêm nghĩa vụ mang tính tiền kiểm đối với doanh nghiệp. Điều này giúp duy trì mức độ ổn định của môi trường pháp lý, hạn chế phát sinh chi phí tuân thủ mới, đặc biệt đối với doanh nghiệp đang hoạt động trong lĩnh vực số vốn có tốc độ đổi mới nhanh và phụ thuộc nhiều vào thử nghiệm mô hình kinh doanh.</w:t>
      </w:r>
    </w:p>
    <w:p w14:paraId="75D539B7"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 xml:space="preserve">Ngược lại, Giải pháp 2 đặt ra các nghĩa vụ phòng ngừa và yêu cầu kê khai, tự đánh giá tuân thủ đối với nhóm nền tảng số quy mô lớn. Mặc dù chỉ áp dụng có chọn </w:t>
      </w:r>
      <w:r w:rsidRPr="006400D7">
        <w:rPr>
          <w:noProof/>
          <w:color w:val="000000" w:themeColor="text1"/>
          <w:sz w:val="26"/>
          <w:szCs w:val="26"/>
          <w:lang w:val="vi-VN"/>
        </w:rPr>
        <w:lastRenderedPageBreak/>
        <w:t>lọc, các nghĩa vụ này vẫn có thể làm gia tăng chi phí pháp lý, chi phí quản trị tuân thủ và rủi ro pháp lý trong giai đoạn đầu, đồng thời có khả năng ảnh hưởng đến quyết định mở rộng đầu tư hoặc cung cấp dịch vụ mới tại thị trường Việt Nam.</w:t>
      </w:r>
    </w:p>
    <w:p w14:paraId="7427E42A"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Về tính ổn định và thống nhất của hệ thống pháp luật, Giải pháp 1 bảo đảm mức độ ổn định cao của hệ thống pháp luật cạnh tranh, do không làm thay đổi căn bản phương thức điều tiết hiện hành. Việc hoàn thiện các quy định theo hướng làm rõ tiêu chí, khái niệm và cơ chế thực thi giúp tăng tính minh bạch mà không phát sinh nguy cơ mở rộng nội dung điều chỉnh ở văn bản dưới luật.</w:t>
      </w:r>
    </w:p>
    <w:p w14:paraId="48F9733E"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Trong khi đó, Giải pháp 2 phụ thuộc đáng kể vào các quy định chi tiết do Chính phủ ban hành để xác định tiêu chí, ngưỡng áp dụng và nhóm hành vi bị cấm. Nếu phạm vi ủy quyền lập quy không được thiết kế chặt chẽ, có thể phát sinh rủi ro về tính minh bạch, tính dự đoán của pháp luật và nguy cơ chồng chéo với các cơ chế quản lý chuyên ngành như thương mại điện tử, viễn thông, công nghệ thông tin hoặc bảo vệ quyền lợi người tiêu dùng.</w:t>
      </w:r>
    </w:p>
    <w:p w14:paraId="5D849DCD" w14:textId="77777777" w:rsidR="006400D7"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color w:val="000000" w:themeColor="text1"/>
          <w:sz w:val="26"/>
          <w:szCs w:val="26"/>
          <w:lang w:val="vi-VN"/>
        </w:rPr>
        <w:t xml:space="preserve">Về mức độ phù hợp với điều kiện thực tiễn, trong bối cảnh thị trường số tại Việt Nam vẫn đang trong giai đoạn phát triển, cấu trúc thị trường và vị thế của các nền tảng có thể thay đổi nhanh, Giải pháp 1 cho phép Nhà nước tiếp tục theo dõi, đánh giá thực tiễn và từng bước hoàn thiện công cụ điều tiết trên cơ sở kinh nghiệm thực thi. Ngược lại, việc áp dụng ngay cơ chế tiền kiểm theo Giải pháp 2 khi dữ liệu thị trường, năng lực phân tích và cơ chế phối hợp liên ngành chưa hoàn thiện có thể dẫn đến rủi ro áp dụng chưa </w:t>
      </w:r>
      <w:r w:rsidRPr="006400D7">
        <w:rPr>
          <w:sz w:val="26"/>
          <w:szCs w:val="26"/>
          <w:lang w:val="vi-VN"/>
        </w:rPr>
        <w:t>thống nhất và làm giảm tính ổn định của môi trường pháp lý.</w:t>
      </w:r>
    </w:p>
    <w:p w14:paraId="1F103F08" w14:textId="7F14D6E2" w:rsidR="00A97C72" w:rsidRPr="006400D7" w:rsidRDefault="00A97C72" w:rsidP="006400D7">
      <w:pPr>
        <w:widowControl w:val="0"/>
        <w:pBdr>
          <w:top w:val="dotted" w:sz="4" w:space="0" w:color="FFFFFF"/>
          <w:left w:val="dotted" w:sz="4" w:space="0" w:color="FFFFFF"/>
          <w:bottom w:val="dotted" w:sz="4" w:space="3" w:color="FFFFFF"/>
          <w:right w:val="dotted" w:sz="4" w:space="29" w:color="FFFFFF"/>
        </w:pBdr>
        <w:shd w:val="clear" w:color="auto" w:fill="FFFFFF"/>
        <w:tabs>
          <w:tab w:val="left" w:pos="3765"/>
          <w:tab w:val="left" w:pos="6405"/>
        </w:tabs>
        <w:spacing w:before="120" w:after="120" w:line="340" w:lineRule="exact"/>
        <w:ind w:firstLine="709"/>
        <w:jc w:val="both"/>
        <w:rPr>
          <w:noProof/>
          <w:color w:val="000000" w:themeColor="text1"/>
          <w:sz w:val="26"/>
          <w:szCs w:val="26"/>
          <w:lang w:val="vi-VN"/>
        </w:rPr>
      </w:pPr>
      <w:r w:rsidRPr="006400D7">
        <w:rPr>
          <w:noProof/>
          <w:sz w:val="26"/>
          <w:szCs w:val="26"/>
          <w:lang w:val="vi-VN"/>
        </w:rPr>
        <w:t>Trên cơ sở so sánh toàn diện, xét tổng thể về tính khả thi, mức độ rủi ro chính sách, chi phí tuân thủ và điều kiện thực tiễn hiện nay, Bộ Công Thương xác định Giải pháp 1 là phương án tối ưu trong giai đoạn trước mắt. Đồng thời, kết quả thực thi của Giải pháp 1 sẽ là cơ sở thực tiễn quan trọng để Nhà nước tiếp tục nghiên cứu, đánh giá khả năng áp dụng các công cụ tiền kiểm có mục tiêu đối với nền tảng số trong trung và dài hạn, khi các</w:t>
      </w:r>
      <w:r w:rsidRPr="006400D7">
        <w:rPr>
          <w:noProof/>
          <w:color w:val="000000" w:themeColor="text1"/>
          <w:sz w:val="26"/>
          <w:szCs w:val="26"/>
          <w:lang w:val="vi-VN"/>
        </w:rPr>
        <w:t xml:space="preserve"> điều kiện pháp lý và năng lực thực thi đã được củng cố đầy đủ.</w:t>
      </w:r>
    </w:p>
    <w:p w14:paraId="6B07C5B2" w14:textId="584FA26A" w:rsidR="000F0D45" w:rsidRDefault="00A97C72" w:rsidP="006400D7">
      <w:pPr>
        <w:pStyle w:val="Heading1"/>
        <w:rPr>
          <w:lang w:val="en-US"/>
        </w:rPr>
      </w:pPr>
      <w:r w:rsidRPr="006400D7">
        <w:rPr>
          <w:kern w:val="36"/>
        </w:rPr>
        <w:t>2.</w:t>
      </w:r>
      <w:r w:rsidR="00D31383">
        <w:rPr>
          <w:kern w:val="36"/>
          <w:lang w:val="en-US"/>
        </w:rPr>
        <w:t>3</w:t>
      </w:r>
      <w:r w:rsidRPr="006400D7">
        <w:rPr>
          <w:kern w:val="36"/>
        </w:rPr>
        <w:t xml:space="preserve">.1.2. </w:t>
      </w:r>
      <w:r w:rsidR="001609E1" w:rsidRPr="006400D7">
        <w:rPr>
          <w:kern w:val="36"/>
        </w:rPr>
        <w:t xml:space="preserve">Vấn đề 2: </w:t>
      </w:r>
      <w:r w:rsidR="000F0D45" w:rsidRPr="006400D7">
        <w:t xml:space="preserve">Hoàn thiện quy định về xử lý vi phạm pháp luật về cạnh tranh </w:t>
      </w:r>
    </w:p>
    <w:p w14:paraId="4823A450" w14:textId="22A10319" w:rsidR="00D31383" w:rsidRPr="00D31383" w:rsidRDefault="00D31383" w:rsidP="00D31383">
      <w:pPr>
        <w:pStyle w:val="Heading1"/>
        <w:rPr>
          <w:lang w:val="en-US"/>
        </w:rPr>
      </w:pPr>
      <w:r>
        <w:tab/>
        <w:t>2.3.1.2.1. Đánh giá tác động</w:t>
      </w:r>
    </w:p>
    <w:p w14:paraId="24383254" w14:textId="52363461" w:rsidR="000F0D45" w:rsidRPr="00ED5E38" w:rsidRDefault="000F0D45" w:rsidP="0027142B">
      <w:pPr>
        <w:pStyle w:val="Heading3"/>
        <w:ind w:firstLine="709"/>
        <w:rPr>
          <w:iCs/>
          <w:noProof/>
          <w:lang w:val="vi-VN"/>
        </w:rPr>
      </w:pPr>
      <w:r w:rsidRPr="006400D7">
        <w:rPr>
          <w:noProof/>
          <w:lang w:val="vi-VN"/>
        </w:rPr>
        <w:t xml:space="preserve">a) Giải pháp 1: Hoàn thiện, </w:t>
      </w:r>
      <w:r w:rsidR="000E6EE1" w:rsidRPr="006400D7">
        <w:rPr>
          <w:noProof/>
          <w:lang w:val="vi-VN"/>
        </w:rPr>
        <w:t>thống nhất</w:t>
      </w:r>
      <w:r w:rsidR="000E6EE1" w:rsidRPr="000E6EE1">
        <w:rPr>
          <w:noProof/>
          <w:lang w:val="vi-VN"/>
        </w:rPr>
        <w:t xml:space="preserve"> giữa</w:t>
      </w:r>
      <w:r w:rsidRPr="00ED5E38">
        <w:rPr>
          <w:noProof/>
          <w:lang w:val="vi-VN"/>
        </w:rPr>
        <w:t xml:space="preserve"> quy định của Luật Cạnh tranh và Luật Xử lý vi phạm hành chính về xử lý vi phạm pháp luật cạnh tranh</w:t>
      </w:r>
    </w:p>
    <w:p w14:paraId="1AEF9350" w14:textId="77777777" w:rsidR="000F0D45" w:rsidRPr="00ED5E38" w:rsidRDefault="000F0D45" w:rsidP="00893D79">
      <w:pPr>
        <w:spacing w:before="120" w:after="120" w:line="340" w:lineRule="exact"/>
        <w:ind w:firstLine="709"/>
        <w:rPr>
          <w:i/>
          <w:iCs/>
          <w:noProof/>
          <w:color w:val="000000" w:themeColor="text1"/>
          <w:sz w:val="26"/>
          <w:szCs w:val="26"/>
          <w:lang w:val="vi-VN"/>
        </w:rPr>
      </w:pPr>
      <w:r w:rsidRPr="00ED5E38">
        <w:rPr>
          <w:i/>
          <w:iCs/>
          <w:noProof/>
          <w:color w:val="000000" w:themeColor="text1"/>
          <w:sz w:val="26"/>
          <w:szCs w:val="26"/>
          <w:lang w:val="vi-VN"/>
        </w:rPr>
        <w:tab/>
        <w:t>Trong đó, dự kiến bổ sung tại Luật Cạnh tranh như sau:</w:t>
      </w:r>
    </w:p>
    <w:p w14:paraId="6B7DFB0B"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Bổ sung khoản 1a vào sau khoản 1 Điều 94 Luật Cạnh tranh như sau: </w:t>
      </w:r>
    </w:p>
    <w:p w14:paraId="5B14D0B4"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“1a. Quyết định xử lý vụ việc cạnh tranh đã bao gồm nội dung xử phạt vi phạm hành chính về cạnh tranh và thay cho quyết định xử phạt vi phạm hành chính về cạnh tranh”.</w:t>
      </w:r>
    </w:p>
    <w:p w14:paraId="48975F09" w14:textId="77777777" w:rsidR="000F0D45" w:rsidRPr="00ED5E38" w:rsidRDefault="000F0D45" w:rsidP="00893D79">
      <w:pPr>
        <w:spacing w:before="120" w:after="120" w:line="340" w:lineRule="exact"/>
        <w:ind w:firstLine="709"/>
        <w:rPr>
          <w:i/>
          <w:iCs/>
          <w:noProof/>
          <w:color w:val="000000" w:themeColor="text1"/>
          <w:sz w:val="26"/>
          <w:szCs w:val="26"/>
          <w:lang w:val="vi-VN"/>
        </w:rPr>
      </w:pPr>
      <w:r w:rsidRPr="00ED5E38">
        <w:rPr>
          <w:noProof/>
          <w:color w:val="000000" w:themeColor="text1"/>
          <w:sz w:val="26"/>
          <w:szCs w:val="26"/>
          <w:lang w:val="vi-VN"/>
        </w:rPr>
        <w:lastRenderedPageBreak/>
        <w:t xml:space="preserve">- Bổ sung khoản 1a sau khoản 1 Điều 110 Luật Cạnh tranh như sau: </w:t>
      </w:r>
      <w:r w:rsidRPr="00ED5E38">
        <w:rPr>
          <w:i/>
          <w:iCs/>
          <w:noProof/>
          <w:color w:val="000000" w:themeColor="text1"/>
          <w:sz w:val="26"/>
          <w:szCs w:val="26"/>
          <w:lang w:val="vi-VN"/>
        </w:rPr>
        <w:t>“Việc xử phạt vi phạm pháp luật về cạnh tranh được thực hiện theo quy định của pháp luật về cạnh tranh và pháp luật về xử lý vi phạm hành chính.”</w:t>
      </w:r>
    </w:p>
    <w:p w14:paraId="7225A758" w14:textId="77777777" w:rsidR="000F0D45" w:rsidRPr="00ED5E38" w:rsidRDefault="000F0D45" w:rsidP="00893D79">
      <w:pPr>
        <w:spacing w:before="120" w:after="120" w:line="340" w:lineRule="exact"/>
        <w:ind w:firstLine="709"/>
        <w:rPr>
          <w:i/>
          <w:iCs/>
          <w:noProof/>
          <w:color w:val="000000" w:themeColor="text1"/>
          <w:sz w:val="26"/>
          <w:szCs w:val="26"/>
          <w:lang w:val="vi-VN"/>
        </w:rPr>
      </w:pPr>
      <w:r w:rsidRPr="00ED5E38">
        <w:rPr>
          <w:i/>
          <w:iCs/>
          <w:noProof/>
          <w:color w:val="000000" w:themeColor="text1"/>
          <w:sz w:val="26"/>
          <w:szCs w:val="26"/>
          <w:lang w:val="vi-VN"/>
        </w:rPr>
        <w:t xml:space="preserve">- </w:t>
      </w:r>
      <w:r w:rsidRPr="00ED5E38">
        <w:rPr>
          <w:noProof/>
          <w:color w:val="000000" w:themeColor="text1"/>
          <w:sz w:val="26"/>
          <w:szCs w:val="26"/>
          <w:lang w:val="vi-VN"/>
        </w:rPr>
        <w:t>Bổ sung quy định về thời hiệu xử phạt vi hành chính về cạnh tranh như sau:</w:t>
      </w:r>
    </w:p>
    <w:p w14:paraId="2991DB53"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“1. Thời hiệu xử phạt đối với vi phạm hành chính về thỏa thuận hạn chế cạnh tranh, lạm dụng vị trí thống lĩnh thị trường, lạm dụng vị trí độc quyền, vi phạm quy định về</w:t>
      </w:r>
      <w:r w:rsidRPr="00ED5E38">
        <w:rPr>
          <w:i/>
          <w:iCs/>
          <w:noProof/>
          <w:color w:val="000000" w:themeColor="text1"/>
          <w:sz w:val="26"/>
          <w:szCs w:val="26"/>
          <w:shd w:val="clear" w:color="auto" w:fill="FFFFFF"/>
          <w:lang w:val="vi-VN"/>
        </w:rPr>
        <w:t xml:space="preserve"> </w:t>
      </w:r>
      <w:r w:rsidRPr="00ED5E38">
        <w:rPr>
          <w:i/>
          <w:iCs/>
          <w:noProof/>
          <w:color w:val="000000" w:themeColor="text1"/>
          <w:sz w:val="26"/>
          <w:szCs w:val="26"/>
          <w:lang w:val="vi-VN"/>
        </w:rPr>
        <w:t>tập trung kinh tế; cạnh tranh không lành mạnh là 05 năm.</w:t>
      </w:r>
    </w:p>
    <w:p w14:paraId="5B97B879"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2. Thời hiệu xử phạt đối với vi phạm hành chính về cạnh tranh khác là 01 năm.” </w:t>
      </w:r>
    </w:p>
    <w:p w14:paraId="668CD212"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Giao Chính phủ quy định chi tiết thời điểm để tính thời hiệu xử phạt.</w:t>
      </w:r>
    </w:p>
    <w:p w14:paraId="4363EDC1"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Tại Luật Xử lý vi phạm hành chính, đề xuất sửa đổi như sau:</w:t>
      </w:r>
    </w:p>
    <w:p w14:paraId="6BA4F08F"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Sửa đổi, bổ sung đoạn thứ ba điểm a khoản 1 Điều 6 như sau: </w:t>
      </w:r>
    </w:p>
    <w:p w14:paraId="31AD89EC"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“Vi phạm hành chính về thuế, kiểm toán độc lập và </w:t>
      </w:r>
      <w:r w:rsidRPr="00ED5E38">
        <w:rPr>
          <w:i/>
          <w:iCs/>
          <w:noProof/>
          <w:color w:val="000000" w:themeColor="text1"/>
          <w:sz w:val="26"/>
          <w:szCs w:val="26"/>
          <w:u w:val="single"/>
          <w:lang w:val="vi-VN"/>
        </w:rPr>
        <w:t>cạnh tranh</w:t>
      </w:r>
      <w:r w:rsidRPr="00ED5E38">
        <w:rPr>
          <w:i/>
          <w:iCs/>
          <w:noProof/>
          <w:color w:val="000000" w:themeColor="text1"/>
          <w:sz w:val="26"/>
          <w:szCs w:val="26"/>
          <w:lang w:val="vi-VN"/>
        </w:rPr>
        <w:t xml:space="preserve"> thì thời hiệu xử phạt vi phạm hành chính theo quy định của pháp luật về quản lý thuế, pháp luật về kiểm toán độc lập và </w:t>
      </w:r>
      <w:r w:rsidRPr="00ED5E38">
        <w:rPr>
          <w:i/>
          <w:iCs/>
          <w:noProof/>
          <w:color w:val="000000" w:themeColor="text1"/>
          <w:sz w:val="26"/>
          <w:szCs w:val="26"/>
          <w:u w:val="single"/>
          <w:lang w:val="vi-VN"/>
        </w:rPr>
        <w:t>pháp luật về cạnh tranh</w:t>
      </w:r>
      <w:r w:rsidRPr="00ED5E38">
        <w:rPr>
          <w:i/>
          <w:iCs/>
          <w:noProof/>
          <w:color w:val="000000" w:themeColor="text1"/>
          <w:sz w:val="26"/>
          <w:szCs w:val="26"/>
          <w:lang w:val="vi-VN"/>
        </w:rPr>
        <w:t xml:space="preserve">”. </w:t>
      </w:r>
    </w:p>
    <w:p w14:paraId="6990F2D5"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(hoặc có thể quy định theo phương án Bộ Công an đã đề xuất cho dự án Luật Xử lý vi phạm hành chính (sửa đổi):  </w:t>
      </w:r>
    </w:p>
    <w:p w14:paraId="78C0B5E2"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“Thời hiệu xử phạt vi phạm hành chính là từ 01 năm đến 03 năm, trừ trường hợp vi phạm hành chính về lĩnh vực khác mà luật chuyên ngành quy định thì thời hiệu xử phạt vi phạm hành chính theo quy định của pháp luật chuyên ngành đó.”</w:t>
      </w:r>
    </w:p>
    <w:p w14:paraId="140E9D82"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Bổ sung điểm c vào sau điểm b khoản 1 Điều 56 về các trường hợp xử phạt vi phạm hành chính không lập biên bản như sau:</w:t>
      </w:r>
    </w:p>
    <w:p w14:paraId="0FBD4831"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“c) Hành vi vi phạm quy định về thỏa thuận hạn chế cạnh tranh; lạm dụng vị trí thống lĩnh thị trường, lạm dụng vị trí độc quyền; tập trung kinh tế; cạnh tranh không lành mạnh do cơ quan có thẩm quyền điều tra, xử lý theo quy định của Luật Cạnh tranh”.</w:t>
      </w:r>
    </w:p>
    <w:p w14:paraId="6B87299C" w14:textId="77777777" w:rsidR="000F0D45" w:rsidRPr="00ED5E38" w:rsidRDefault="000F0D45" w:rsidP="00893D79">
      <w:pPr>
        <w:spacing w:before="120" w:after="120" w:line="340" w:lineRule="exact"/>
        <w:ind w:firstLine="709"/>
        <w:rPr>
          <w:noProof/>
          <w:color w:val="000000" w:themeColor="text1"/>
          <w:sz w:val="26"/>
          <w:szCs w:val="26"/>
          <w:lang w:val="vi-VN"/>
        </w:rPr>
      </w:pPr>
      <w:r w:rsidRPr="00ED5E38">
        <w:rPr>
          <w:noProof/>
          <w:color w:val="000000" w:themeColor="text1"/>
          <w:sz w:val="26"/>
          <w:szCs w:val="26"/>
          <w:lang w:val="vi-VN"/>
        </w:rPr>
        <w:t>- Bổ sung điểm e vào sau điểm đ khoản 1 Điều 65 về những trường hợp không ra quyết định xử phạt vi phạm hành chính như sau:</w:t>
      </w:r>
    </w:p>
    <w:p w14:paraId="3B542D26"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“e) Trường hợp đã có Quyết định xử lý vụ việc cạnh tranh theo quy định của Luật Cạnh tranh.”</w:t>
      </w:r>
    </w:p>
    <w:p w14:paraId="2754DECD"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Ngoài ra, những nội dung Luật Cạnh tranh không quy định sẽ áp dụng các nguyên tắc, quy định trong Luật Xử lý vi phạm hành chính. </w:t>
      </w:r>
    </w:p>
    <w:p w14:paraId="7DF429B2" w14:textId="77777777" w:rsidR="000F0D45" w:rsidRPr="00ED5E38" w:rsidRDefault="000F0D45" w:rsidP="00893D79">
      <w:pPr>
        <w:tabs>
          <w:tab w:val="right" w:leader="dot" w:pos="7920"/>
        </w:tabs>
        <w:spacing w:before="120" w:after="120" w:line="340" w:lineRule="exact"/>
        <w:ind w:firstLine="709"/>
        <w:jc w:val="both"/>
        <w:rPr>
          <w:b/>
          <w:i/>
          <w:noProof/>
          <w:color w:val="000000" w:themeColor="text1"/>
          <w:sz w:val="26"/>
          <w:szCs w:val="26"/>
          <w:lang w:val="vi-VN"/>
        </w:rPr>
      </w:pPr>
      <w:r w:rsidRPr="00ED5E38">
        <w:rPr>
          <w:b/>
          <w:i/>
          <w:noProof/>
          <w:color w:val="000000" w:themeColor="text1"/>
          <w:sz w:val="26"/>
          <w:szCs w:val="26"/>
          <w:lang w:val="vi-VN"/>
        </w:rPr>
        <w:t>- Tác động đối với hệ thống pháp luật:</w:t>
      </w:r>
    </w:p>
    <w:p w14:paraId="1AF09FF5" w14:textId="77777777" w:rsidR="000F0D45" w:rsidRPr="00966A0D" w:rsidRDefault="000F0D45" w:rsidP="00893D79">
      <w:pPr>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tab/>
        <w:t xml:space="preserve">Về tính hợp hiến: </w:t>
      </w:r>
    </w:p>
    <w:p w14:paraId="1C352B16" w14:textId="16210700" w:rsidR="000F0D45" w:rsidRPr="00ED5E38" w:rsidRDefault="00381740" w:rsidP="00893D79">
      <w:pPr>
        <w:spacing w:before="120" w:after="120" w:line="340" w:lineRule="exact"/>
        <w:ind w:firstLine="709"/>
        <w:jc w:val="both"/>
        <w:rPr>
          <w:bCs/>
          <w:noProof/>
          <w:color w:val="000000" w:themeColor="text1"/>
          <w:sz w:val="26"/>
          <w:szCs w:val="26"/>
          <w:lang w:val="vi-VN"/>
        </w:rPr>
      </w:pPr>
      <w:r w:rsidRPr="00ED5E38">
        <w:rPr>
          <w:noProof/>
          <w:color w:val="000000" w:themeColor="text1"/>
          <w:sz w:val="26"/>
          <w:szCs w:val="26"/>
          <w:lang w:val="vi-VN"/>
        </w:rPr>
        <w:t xml:space="preserve">Khoản 2 Điều 51 </w:t>
      </w:r>
      <w:r w:rsidR="000F0D45" w:rsidRPr="00ED5E38">
        <w:rPr>
          <w:noProof/>
          <w:color w:val="000000" w:themeColor="text1"/>
          <w:sz w:val="26"/>
          <w:szCs w:val="26"/>
          <w:lang w:val="vi-VN"/>
        </w:rPr>
        <w:t xml:space="preserve">Hiến pháp năm 2013 quy định: </w:t>
      </w:r>
      <w:r w:rsidR="000F0D45" w:rsidRPr="00ED5E38">
        <w:rPr>
          <w:i/>
          <w:iCs/>
          <w:noProof/>
          <w:color w:val="000000" w:themeColor="text1"/>
          <w:sz w:val="26"/>
          <w:szCs w:val="26"/>
          <w:lang w:val="vi-VN"/>
        </w:rPr>
        <w:t xml:space="preserve">“Các thành phần kinh tế đều là bộ phận cấu thành quan trọng của nền kinh tế quốc dân. Các chủ thể thuộc các thành phần kinh tế bình đẳng, hợp tác và cạnh tranh theo pháp luật”. </w:t>
      </w:r>
      <w:r w:rsidR="000F0D45" w:rsidRPr="00ED5E38">
        <w:rPr>
          <w:noProof/>
          <w:color w:val="000000" w:themeColor="text1"/>
          <w:sz w:val="26"/>
          <w:szCs w:val="26"/>
          <w:lang w:val="vi-VN"/>
        </w:rPr>
        <w:t xml:space="preserve">Bên cạnh đó, </w:t>
      </w:r>
      <w:r w:rsidR="000F0D45" w:rsidRPr="00ED5E38">
        <w:rPr>
          <w:bCs/>
          <w:noProof/>
          <w:color w:val="000000" w:themeColor="text1"/>
          <w:sz w:val="26"/>
          <w:szCs w:val="26"/>
          <w:lang w:val="vi-VN"/>
        </w:rPr>
        <w:t xml:space="preserve">Hiến pháp </w:t>
      </w:r>
      <w:r w:rsidR="000F0D45" w:rsidRPr="00ED5E38">
        <w:rPr>
          <w:bCs/>
          <w:noProof/>
          <w:color w:val="000000" w:themeColor="text1"/>
          <w:sz w:val="26"/>
          <w:szCs w:val="26"/>
          <w:lang w:val="vi-VN"/>
        </w:rPr>
        <w:lastRenderedPageBreak/>
        <w:t xml:space="preserve">quy định quyền con người, quyền công dân chỉ có thể bị hạn chế theo quy định của luật trong trường hợp cần thiết vì lý do quốc phòng, an ninh quốc gia, trật tự, an toàn xã hội, đạo đức xã hội, sức khỏe của cộng đồng. Do đó, việc </w:t>
      </w:r>
      <w:r w:rsidR="000F0D45" w:rsidRPr="00ED5E38">
        <w:rPr>
          <w:noProof/>
          <w:color w:val="000000" w:themeColor="text1"/>
          <w:sz w:val="26"/>
          <w:szCs w:val="26"/>
          <w:lang w:val="vi-VN"/>
        </w:rPr>
        <w:t>hoàn thiện, đồng bộ hóa quy định của Luật Cạnh tranh và Luật Xử lý vi phạm hành chính về xử lý vi phạm pháp luật cạnh tranh</w:t>
      </w:r>
      <w:r w:rsidR="000F0D45" w:rsidRPr="00ED5E38">
        <w:rPr>
          <w:bCs/>
          <w:noProof/>
          <w:color w:val="000000" w:themeColor="text1"/>
          <w:sz w:val="26"/>
          <w:szCs w:val="26"/>
          <w:lang w:val="vi-VN"/>
        </w:rPr>
        <w:t xml:space="preserve"> là phù hợp với quy định của Hiến pháp</w:t>
      </w:r>
      <w:r w:rsidR="000F0D45" w:rsidRPr="00ED5E38">
        <w:rPr>
          <w:noProof/>
          <w:color w:val="000000" w:themeColor="text1"/>
          <w:sz w:val="26"/>
          <w:szCs w:val="26"/>
          <w:lang w:val="vi-VN"/>
        </w:rPr>
        <w:t>.</w:t>
      </w:r>
    </w:p>
    <w:p w14:paraId="3EC29D7F" w14:textId="77777777" w:rsidR="000F0D45" w:rsidRPr="00ED5E38" w:rsidRDefault="000F0D45" w:rsidP="00893D79">
      <w:pPr>
        <w:spacing w:before="120" w:after="120" w:line="340" w:lineRule="exact"/>
        <w:ind w:firstLine="709"/>
        <w:jc w:val="both"/>
        <w:rPr>
          <w:bCs/>
          <w:noProof/>
          <w:color w:val="000000" w:themeColor="text1"/>
          <w:sz w:val="26"/>
          <w:szCs w:val="26"/>
          <w:lang w:val="vi-VN"/>
        </w:rPr>
      </w:pPr>
      <w:r w:rsidRPr="00ED5E38">
        <w:rPr>
          <w:bCs/>
          <w:i/>
          <w:iCs/>
          <w:noProof/>
          <w:color w:val="000000" w:themeColor="text1"/>
          <w:sz w:val="26"/>
          <w:szCs w:val="26"/>
          <w:lang w:val="vi-VN"/>
        </w:rPr>
        <w:t>Về tính hợp pháp, tính thống nhất của chính sách với hệ thống pháp luật:</w:t>
      </w:r>
      <w:r w:rsidRPr="00ED5E38">
        <w:rPr>
          <w:bCs/>
          <w:noProof/>
          <w:color w:val="000000" w:themeColor="text1"/>
          <w:sz w:val="26"/>
          <w:szCs w:val="26"/>
          <w:lang w:val="vi-VN"/>
        </w:rPr>
        <w:t xml:space="preserve"> </w:t>
      </w:r>
    </w:p>
    <w:p w14:paraId="4B20D4F2"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 xml:space="preserve">Hiện nay, các vấn đề về cạnh tranh được điều chỉnh bởi Luật Cạnh tranh năm 2018 và một số luật có liên quan như Luật Xử lý vi phạm hành chính, Luật Thương mại, </w:t>
      </w:r>
      <w:r w:rsidRPr="00ED5E38">
        <w:rPr>
          <w:noProof/>
          <w:color w:val="000000" w:themeColor="text1"/>
          <w:sz w:val="26"/>
          <w:szCs w:val="26"/>
          <w:lang w:val="vi-VN"/>
        </w:rPr>
        <w:t>Luật Dân sự, Luật Doanh nghiệp và pháp luật khác có liên quan.</w:t>
      </w:r>
      <w:r w:rsidRPr="00ED5E38">
        <w:rPr>
          <w:iCs/>
          <w:noProof/>
          <w:color w:val="000000" w:themeColor="text1"/>
          <w:sz w:val="26"/>
          <w:szCs w:val="26"/>
          <w:lang w:val="vi-VN"/>
        </w:rPr>
        <w:t xml:space="preserve"> </w:t>
      </w:r>
    </w:p>
    <w:p w14:paraId="45963084"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ab/>
        <w:t xml:space="preserve">Tuy nhiên, qua thực tiễn thực thi cho thấy còn tồn tại sự thiếu đồng bộ và chưa thống nhất giữa Luật Cạnh tranh và Luật Xử lý vi phạm hành chính liên quan đến thời hiệu, trình tự, thủ tục xử lý vi phạm đối với </w:t>
      </w:r>
      <w:r w:rsidRPr="00ED5E38">
        <w:rPr>
          <w:iCs/>
          <w:noProof/>
          <w:color w:val="000000" w:themeColor="text1"/>
          <w:sz w:val="26"/>
          <w:szCs w:val="26"/>
          <w:lang w:val="vi-VN"/>
        </w:rPr>
        <w:t>thỏa thuận hạn chế cạnh tranh, lạm dụng vị trí thống lĩnh thị trường, lạm dụng vị trí độc quyền, quy định về tập trung kinh tế, cạnh tranh không lành mạn</w:t>
      </w:r>
      <w:r w:rsidRPr="00ED5E38">
        <w:rPr>
          <w:noProof/>
          <w:color w:val="000000" w:themeColor="text1"/>
          <w:sz w:val="26"/>
          <w:szCs w:val="26"/>
          <w:lang w:val="vi-VN"/>
        </w:rPr>
        <w:t>. Những bất cập này không chỉ làm giảm tính khả thi của pháp luật mà còn gây khó khăn cho công tác xử lý các hành vi vi phạm, đặc biệt là các hành vi vi phạm có yếu tố nước ngoài hoặc phát sinh trên nền tảng kỹ thuật số.</w:t>
      </w:r>
    </w:p>
    <w:p w14:paraId="2DD0014F" w14:textId="6FAB18F3" w:rsidR="000F0D45" w:rsidRPr="00966A0D" w:rsidRDefault="00966A0D" w:rsidP="00893D79">
      <w:pPr>
        <w:tabs>
          <w:tab w:val="right" w:leader="dot" w:pos="7920"/>
        </w:tabs>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t>+</w:t>
      </w:r>
      <w:r w:rsidR="000F0D45" w:rsidRPr="00966A0D">
        <w:rPr>
          <w:noProof/>
          <w:color w:val="000000" w:themeColor="text1"/>
          <w:sz w:val="26"/>
          <w:szCs w:val="26"/>
          <w:lang w:val="vi-VN"/>
        </w:rPr>
        <w:t xml:space="preserve"> Về quy định hiện hành điều chỉnh vấn đề chính sách hướng tới</w:t>
      </w:r>
    </w:p>
    <w:p w14:paraId="1FCF06DF" w14:textId="77777777" w:rsidR="000F0D45" w:rsidRPr="00ED5E38" w:rsidRDefault="000F0D45" w:rsidP="00893D79">
      <w:pPr>
        <w:spacing w:before="120" w:after="120" w:line="340" w:lineRule="exact"/>
        <w:ind w:firstLine="709"/>
        <w:jc w:val="both"/>
        <w:rPr>
          <w:bCs/>
          <w:iCs/>
          <w:noProof/>
          <w:color w:val="000000" w:themeColor="text1"/>
          <w:sz w:val="26"/>
          <w:szCs w:val="26"/>
          <w:lang w:val="vi-VN"/>
        </w:rPr>
      </w:pPr>
      <w:r w:rsidRPr="00ED5E38">
        <w:rPr>
          <w:bCs/>
          <w:iCs/>
          <w:noProof/>
          <w:color w:val="000000" w:themeColor="text1"/>
          <w:sz w:val="26"/>
          <w:szCs w:val="26"/>
          <w:lang w:val="vi-VN"/>
        </w:rPr>
        <w:t xml:space="preserve">Khoản 1 Điều 110 Luật Cạnh tranh quy định về nguyên tắc xử lý vi phạm, hình thức xử lý vi phạm và biện pháp khắc phục hậu quả vi phạm pháp luật về cạnh tranh quy định: </w:t>
      </w:r>
      <w:r w:rsidRPr="00ED5E38">
        <w:rPr>
          <w:bCs/>
          <w:i/>
          <w:noProof/>
          <w:color w:val="000000" w:themeColor="text1"/>
          <w:sz w:val="26"/>
          <w:szCs w:val="26"/>
          <w:lang w:val="vi-VN"/>
        </w:rPr>
        <w:t>“1. Tổ chức, cá nhân có hành vi vi phạm pháp luật về cạnh tranh thì tuỳ theo tính chất, mức độ vi phạm mà bị xử lý kỷ luật,</w:t>
      </w:r>
      <w:r w:rsidRPr="00ED5E38">
        <w:rPr>
          <w:b/>
          <w:i/>
          <w:noProof/>
          <w:color w:val="000000" w:themeColor="text1"/>
          <w:sz w:val="26"/>
          <w:szCs w:val="26"/>
          <w:lang w:val="vi-VN"/>
        </w:rPr>
        <w:t xml:space="preserve"> </w:t>
      </w:r>
      <w:r w:rsidRPr="00ED5E38">
        <w:rPr>
          <w:bCs/>
          <w:i/>
          <w:noProof/>
          <w:color w:val="000000" w:themeColor="text1"/>
          <w:sz w:val="26"/>
          <w:szCs w:val="26"/>
          <w:lang w:val="vi-VN"/>
        </w:rPr>
        <w:t>xử phạt vi phạm hành chính hoặc bị truy cứu trách nhiệm hình sự; nếu gây thiệt hại đến lợi ích của Nhà nước, quyền và lợi ích hợp pháp của tổ chức, cá nhân thì phải bồi thường thiệt hại theo quy định của pháp luật”</w:t>
      </w:r>
      <w:r w:rsidRPr="00ED5E38">
        <w:rPr>
          <w:bCs/>
          <w:iCs/>
          <w:noProof/>
          <w:color w:val="000000" w:themeColor="text1"/>
          <w:sz w:val="26"/>
          <w:szCs w:val="26"/>
          <w:lang w:val="vi-VN"/>
        </w:rPr>
        <w:t>.</w:t>
      </w:r>
    </w:p>
    <w:p w14:paraId="64476450" w14:textId="77777777" w:rsidR="000F0D45" w:rsidRPr="00ED5E38" w:rsidRDefault="000F0D45" w:rsidP="00893D79">
      <w:pPr>
        <w:spacing w:before="120" w:after="120" w:line="340" w:lineRule="exact"/>
        <w:ind w:firstLine="709"/>
        <w:jc w:val="both"/>
        <w:rPr>
          <w:bCs/>
          <w:iCs/>
          <w:noProof/>
          <w:color w:val="000000" w:themeColor="text1"/>
          <w:sz w:val="26"/>
          <w:szCs w:val="26"/>
          <w:lang w:val="vi-VN"/>
        </w:rPr>
      </w:pPr>
      <w:r w:rsidRPr="00ED5E38">
        <w:rPr>
          <w:bCs/>
          <w:iCs/>
          <w:noProof/>
          <w:color w:val="000000" w:themeColor="text1"/>
          <w:sz w:val="26"/>
          <w:szCs w:val="26"/>
          <w:lang w:val="vi-VN"/>
        </w:rPr>
        <w:t xml:space="preserve">Đồng thời, Luật Xử lý vi phạm hành chính hiện nay chỉ quy định áp dụng pháp luật cạnh tranh đối với mức phạt tiền tối đa và thẩm quyền xử phạt đối với hành vi thỏa thuận hạn chế cạnh tranh, lạm dụng vị trí thống lĩnh thị trường, lạm dụng vị trí độc quyền, tập trung kinh tế, cạnh tranh không lành mạnh (tại khoản 3 Điều 24 và điểm l khoản 1 Điều 37a Luật Xử lý vi phạm hành chính) mà không loại trừ việc áp dụng quy định liên quan đến quy trình, thủ tục xử lý vụ việc cạnh tranh theo quy định của Luật Cạnh tranh. </w:t>
      </w:r>
    </w:p>
    <w:p w14:paraId="21E03FF5"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Do đó, Luật Cạnh tranh và Luật Xử lý vi phạm hành chính hiện nay chưa làm rõ quan hệ giữa quy trình tố tụng cạnh tranh và thủ tục xử phạt vi phạm hành chính theo Luật Xử lý vi phạm hành chính, giá trị pháp lý của quyết định xử lý vụ việc cạnh tranh khi áp dụng xử lý đối với các hành vi phạm hành chính </w:t>
      </w:r>
      <w:r w:rsidRPr="00ED5E38">
        <w:rPr>
          <w:iCs/>
          <w:noProof/>
          <w:color w:val="000000" w:themeColor="text1"/>
          <w:sz w:val="26"/>
          <w:szCs w:val="26"/>
          <w:lang w:val="vi-VN"/>
        </w:rPr>
        <w:t>về thỏa thuận hạn chế cạnh tranh, lạm dụng vị trí thống lĩnh thị trường, lạm dụng vị trí độc quyền, vi phạm quy định về</w:t>
      </w:r>
      <w:r w:rsidRPr="00ED5E38">
        <w:rPr>
          <w:iCs/>
          <w:noProof/>
          <w:color w:val="000000" w:themeColor="text1"/>
          <w:sz w:val="26"/>
          <w:szCs w:val="26"/>
          <w:shd w:val="clear" w:color="auto" w:fill="FFFFFF"/>
          <w:lang w:val="vi-VN"/>
        </w:rPr>
        <w:t xml:space="preserve"> </w:t>
      </w:r>
      <w:r w:rsidRPr="00ED5E38">
        <w:rPr>
          <w:iCs/>
          <w:noProof/>
          <w:color w:val="000000" w:themeColor="text1"/>
          <w:sz w:val="26"/>
          <w:szCs w:val="26"/>
          <w:lang w:val="vi-VN"/>
        </w:rPr>
        <w:t>tập trung kinh tế, cạnh tranh không lành mạnh</w:t>
      </w:r>
      <w:r w:rsidRPr="00ED5E38">
        <w:rPr>
          <w:noProof/>
          <w:color w:val="000000" w:themeColor="text1"/>
          <w:sz w:val="26"/>
          <w:szCs w:val="26"/>
          <w:lang w:val="vi-VN"/>
        </w:rPr>
        <w:t>.</w:t>
      </w:r>
    </w:p>
    <w:p w14:paraId="33026D40" w14:textId="360AEF62" w:rsidR="000F0D45" w:rsidRPr="00966A0D" w:rsidRDefault="00966A0D" w:rsidP="00893D79">
      <w:pPr>
        <w:tabs>
          <w:tab w:val="right" w:leader="dot" w:pos="7920"/>
        </w:tabs>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t>+</w:t>
      </w:r>
      <w:r w:rsidR="000F0D45" w:rsidRPr="00966A0D">
        <w:rPr>
          <w:noProof/>
          <w:color w:val="000000" w:themeColor="text1"/>
          <w:sz w:val="26"/>
          <w:szCs w:val="26"/>
          <w:lang w:val="vi-VN"/>
        </w:rPr>
        <w:t xml:space="preserve"> Về sự trùng lặp, mâu thuẫn với quy định của pháp luật hoặc khả năng tạo ra xung đột với quy phạm pháp luật chuyên ngành hay quy phạm pháp luật chung trong các Bộ luật, luật</w:t>
      </w:r>
    </w:p>
    <w:p w14:paraId="7F260285"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lastRenderedPageBreak/>
        <w:t>+ Giải pháp 1 có khả năng dẫn tới sự mâu thuẫn với quy định về thời hiệu trong pháp luật về xử lý vi phạm hành chính.</w:t>
      </w:r>
      <w:r w:rsidRPr="00ED5E38">
        <w:rPr>
          <w:noProof/>
          <w:color w:val="000000" w:themeColor="text1"/>
          <w:sz w:val="26"/>
          <w:szCs w:val="26"/>
          <w:lang w:val="vi-VN"/>
        </w:rPr>
        <w:t xml:space="preserve"> Cụ thể:</w:t>
      </w:r>
    </w:p>
    <w:p w14:paraId="703B9316"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Điểm a khoản 1 Điều 6 Luật Xử lý vi phạm hành chính quy định về thời hiệu xử lý vi phạm hành chính như sau:</w:t>
      </w:r>
    </w:p>
    <w:p w14:paraId="3886AD0D" w14:textId="77777777" w:rsidR="000F0D45" w:rsidRPr="00ED5E38" w:rsidRDefault="000F0D45"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“a) Thời hiệu xử phạt vi phạm hành chính là 01 năm, trừ các trường hợp sau đây:</w:t>
      </w:r>
    </w:p>
    <w:p w14:paraId="21A9A185" w14:textId="77777777" w:rsidR="000F0D45" w:rsidRPr="00ED5E38" w:rsidRDefault="000F0D45"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Vi phạm hành chính về kế toán; hóa đơn; phí, lệ phí; kinh doanh bảo hiểm; quản lý giá; chứng khoán; sở hữu trí tuệ; xây dựng; thủy sản; lâm nghiệp; điều tra, quy hoạch, thăm dò, khai thác, sử dụng nguồn tài nguyên nước; hoạt động dầu khí và hoạt động khoáng sản khác; bảo vệ môi trường; năng lượng nguyên tử; quản lý, phát triển nhà và công sở; đất đai; đê điều; báo chí; xuất bản; sản xuất, xuất khẩu, nhập khẩu, kinh doanh hàng hóa; sản xuất, buôn bán hàng cấm, hàng giả; quản lý lao động ngoài nước; khiếu nại, tố cáo, kiến nghị, phản ánh thì thời hiệu xử phạt vi phạm hành chính là 02 năm.</w:t>
      </w:r>
    </w:p>
    <w:p w14:paraId="03A61DF9" w14:textId="77777777" w:rsidR="000F0D45" w:rsidRPr="00ED5E38" w:rsidRDefault="000F0D45"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Vi phạm hành chính về thuế, kiểm toán độc lập thì thời hiệu xử phạt vi phạm hành chính theo quy định của pháp luật về quản lý thuế, pháp luật về kiểm toán độc lập.”</w:t>
      </w:r>
    </w:p>
    <w:p w14:paraId="16D884D8"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Như vậy, Luật Xử lý vi phạm hành chính hiện nay loại trừ thời hiệu xử phạt vi phạm hành chính đối với hành vi vi phạm hành chính về cạnh tranh. Do đó, căn cứ quy định nêu trên thì thời hiệu xử phạt đối với hành vi vi phạm hành chính về cạnh tranh là 01 năm. </w:t>
      </w:r>
    </w:p>
    <w:p w14:paraId="0B6D0C77"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Trong khi đó, theo Luật Cạnh tranh thì thời hạn tổ chức, cá nhân có quyền thực hiện khiếu nại vụ việc cạnh tranh đến Ủy ban Cạnh tranh Quốc gia là 03 năm kể từ ngày hành vi có dấu hiệu vi phạm pháp luật về cạnh tranh được thực hiện (khoản 2 Điều 77 Luật Cạnh tranh) và thủ trưởng Cơ quan điều tra vụ việc cạnh tranh ra quyết định điều tra vụ việc cạnh tranh trong trường hợp Ủy ban Cạnh tranh Quốc gia phát hiện hành vi có dấu hiệu vi phạm pháp luật về cạnh tranh trong thời hạn 03 năm kể từ ngày hành vi có dấu hiệu vi phạm pháp luật về cạnh tranh được thực hiện (khoản 2 Điều 80 Luật Cạnh tranh).</w:t>
      </w:r>
    </w:p>
    <w:p w14:paraId="7183FB55"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Tuy Luật Xử lý vi phạm hành chính quy định là thời hiệu xử phạt còn Luật Cạnh tranh quy định về thời hiệu khiếu nại và thời hạn mà thủ trưởng cơ quan điều tra ra quyết định điều tra vụ việc cạnh tranh, nhưng việc quy định thời hạn không phù hợp dẫn tới việc các vụ việc cạnh tranh được khiếu nại, điều tra hợp pháp theo Luật Cạnh tranh nhưng lại không thể áp dụng chế tài hành chính do đã hết thời hiệu xử phạt theo Luật Xử lý vi phạm hành chính.</w:t>
      </w:r>
    </w:p>
    <w:p w14:paraId="6F4DDE5E" w14:textId="77777777" w:rsidR="000F0D45" w:rsidRPr="00ED5E38" w:rsidRDefault="000F0D45" w:rsidP="00893D79">
      <w:pPr>
        <w:tabs>
          <w:tab w:val="right" w:leader="dot" w:pos="7920"/>
        </w:tabs>
        <w:spacing w:before="120" w:after="120" w:line="340" w:lineRule="exact"/>
        <w:ind w:firstLine="709"/>
        <w:jc w:val="both"/>
        <w:rPr>
          <w:iCs/>
          <w:noProof/>
          <w:color w:val="000000" w:themeColor="text1"/>
          <w:sz w:val="26"/>
          <w:szCs w:val="26"/>
          <w:lang w:val="vi-VN"/>
        </w:rPr>
      </w:pPr>
      <w:r w:rsidRPr="00ED5E38">
        <w:rPr>
          <w:noProof/>
          <w:color w:val="000000" w:themeColor="text1"/>
          <w:sz w:val="26"/>
          <w:szCs w:val="26"/>
          <w:lang w:val="vi-VN"/>
        </w:rPr>
        <w:t>Hiện nay, nội dung dự kiến đang đề xuất quy định tại Giải pháp 1 thì</w:t>
      </w:r>
      <w:r w:rsidRPr="00ED5E38">
        <w:rPr>
          <w:i/>
          <w:noProof/>
          <w:color w:val="000000" w:themeColor="text1"/>
          <w:sz w:val="26"/>
          <w:szCs w:val="26"/>
          <w:lang w:val="vi-VN"/>
        </w:rPr>
        <w:t xml:space="preserve"> </w:t>
      </w:r>
      <w:r w:rsidRPr="00ED5E38">
        <w:rPr>
          <w:iCs/>
          <w:noProof/>
          <w:color w:val="000000" w:themeColor="text1"/>
          <w:sz w:val="26"/>
          <w:szCs w:val="26"/>
          <w:lang w:val="vi-VN"/>
        </w:rPr>
        <w:t xml:space="preserve">thời hiệu xử phạt đối với hành vi vi phạm hành chính về cạnh tranh là </w:t>
      </w:r>
      <w:r w:rsidRPr="00ED5E38">
        <w:rPr>
          <w:b/>
          <w:bCs/>
          <w:iCs/>
          <w:noProof/>
          <w:color w:val="000000" w:themeColor="text1"/>
          <w:sz w:val="26"/>
          <w:szCs w:val="26"/>
          <w:lang w:val="vi-VN"/>
        </w:rPr>
        <w:t>05 năm</w:t>
      </w:r>
      <w:r w:rsidRPr="00ED5E38">
        <w:rPr>
          <w:iCs/>
          <w:noProof/>
          <w:color w:val="000000" w:themeColor="text1"/>
          <w:sz w:val="26"/>
          <w:szCs w:val="26"/>
          <w:lang w:val="vi-VN"/>
        </w:rPr>
        <w:t xml:space="preserve">; đối với hành vi vi phạm hành chính về cạnh tranh khác là 01 năm. </w:t>
      </w:r>
    </w:p>
    <w:p w14:paraId="1958AAF8"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 xml:space="preserve">Như vậy, về thời hiệu xử phạt đang dự kiến quy định tại Luật có sự mâu thuẫn với Luật Xử lý vi phạm hành chính. </w:t>
      </w:r>
    </w:p>
    <w:p w14:paraId="79A3B871"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lastRenderedPageBreak/>
        <w:t>Tuy nhiên, việc bổ sung lĩnh vực cạnh tranh vào nhóm áp dụng thời hiệu xử lý vi phạm hành chính theo luật chuyên ngành là cần thiết nhằm bảo đảm tính thống nhất, đồng bộ của hệ thống pháp luật và khắc phục những vướng mắc trong thực tiễn áp dụng bởi các lý do sau đây:</w:t>
      </w:r>
    </w:p>
    <w:p w14:paraId="18E7CAC7"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
          <w:noProof/>
          <w:color w:val="000000" w:themeColor="text1"/>
          <w:sz w:val="26"/>
          <w:szCs w:val="26"/>
          <w:lang w:val="vi-VN"/>
        </w:rPr>
        <w:t>Thứ nhất,</w:t>
      </w:r>
      <w:r w:rsidRPr="00ED5E38">
        <w:rPr>
          <w:iCs/>
          <w:noProof/>
          <w:color w:val="000000" w:themeColor="text1"/>
          <w:sz w:val="26"/>
          <w:szCs w:val="26"/>
          <w:lang w:val="vi-VN"/>
        </w:rPr>
        <w:t xml:space="preserve"> Luật Xử lý vi phạm hành chính đã thừa nhận ngoại lệ đối với lĩnh vực thuế và kiểm toán độc lập, cho phép áp dụng thời hiệu theo luật chuyên ngành do đây là các lĩnh vực có tính chất đặc thù, quy trình chuyên môn sâu và cơ chế phát hiện, xử lý riêng. Trong khi đó, lĩnh vực cạnh tranh cũng có tính chất tương tự, với quy trình điều tra, xử lý vụ việc cạnh tranh chặt chẽ, nhiều giai đoạn và đòi hỏi phân tích chuyên sâu về thị trường, hành vi và tác động hạn chế cạnh tranh. </w:t>
      </w:r>
    </w:p>
    <w:p w14:paraId="0F5AF45C"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
          <w:noProof/>
          <w:color w:val="000000" w:themeColor="text1"/>
          <w:sz w:val="26"/>
          <w:szCs w:val="26"/>
          <w:lang w:val="vi-VN"/>
        </w:rPr>
        <w:t>Thứ hai,</w:t>
      </w:r>
      <w:r w:rsidRPr="00ED5E38">
        <w:rPr>
          <w:iCs/>
          <w:noProof/>
          <w:color w:val="000000" w:themeColor="text1"/>
          <w:sz w:val="26"/>
          <w:szCs w:val="26"/>
          <w:lang w:val="vi-VN"/>
        </w:rPr>
        <w:t xml:space="preserve"> theo Luật Cạnh tranh, thời hiệu điều tra vụ việc cạnh tranh là 03 năm kể từ ngày hành vi vi phạm được thực hiện; nếu áp dụng thời hiệu xử phạt 01 năm theo Luật Xử lý vi phạm hành chính thì trên thực tế sẽ không bảo đảm tính khả thi, bởi nhiều trường hợp cơ quan cạnh tranh vẫn còn thời hiệu điều tra theo luật chuyên ngành nhưng lại hết thời hiệu xử phạt theo luật chung, làm giảm hiệu lực thực thi và tính răn đe của pháp luật cạnh tranh. </w:t>
      </w:r>
    </w:p>
    <w:p w14:paraId="2F5D2C83"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
          <w:noProof/>
          <w:color w:val="000000" w:themeColor="text1"/>
          <w:sz w:val="26"/>
          <w:szCs w:val="26"/>
          <w:lang w:val="vi-VN"/>
        </w:rPr>
        <w:t>Thứ ba,</w:t>
      </w:r>
      <w:r w:rsidRPr="00ED5E38">
        <w:rPr>
          <w:iCs/>
          <w:noProof/>
          <w:color w:val="000000" w:themeColor="text1"/>
          <w:sz w:val="26"/>
          <w:szCs w:val="26"/>
          <w:lang w:val="vi-VN"/>
        </w:rPr>
        <w:t xml:space="preserve"> hành vi vi phạm trong lĩnh vực cạnh tranh thường có tính chất phức tạp, tinh vi, khó phát hiện kịp thời và có thể kéo dài trong thời gian dài, nên cần có cơ chế thời hiệu phù hợp để bảo đảm xử lý hiệu quả, tránh nguy cơ phát sinh tranh chấp, khiếu kiện do xung đột trong áp dụng pháp luật, qua đó nâng cao tính minh bạch, thống nhất và hiệu quả của hệ thống pháp luật.</w:t>
      </w:r>
    </w:p>
    <w:p w14:paraId="2481752F"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Bên cạnh đó, đó giải quyết mâu thuẫn nêu trên, Giải pháp 1 đã đề xuất phương án sửa đổi, bổ sung trong Luật Xử lý vi phạm hành chính, cụ thể:</w:t>
      </w:r>
    </w:p>
    <w:p w14:paraId="15794C84"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 xml:space="preserve">Sửa đổi, bổ sung đoạn thứ ba điểm a khoản 1 Điều 6 như sau: </w:t>
      </w:r>
    </w:p>
    <w:p w14:paraId="69791F85"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“Vi phạm hành chính về thuế, kiểm toán độc lập và </w:t>
      </w:r>
      <w:r w:rsidRPr="00ED5E38">
        <w:rPr>
          <w:i/>
          <w:iCs/>
          <w:noProof/>
          <w:color w:val="000000" w:themeColor="text1"/>
          <w:sz w:val="26"/>
          <w:szCs w:val="26"/>
          <w:u w:val="single"/>
          <w:lang w:val="vi-VN"/>
        </w:rPr>
        <w:t>cạnh tranh</w:t>
      </w:r>
      <w:r w:rsidRPr="00ED5E38">
        <w:rPr>
          <w:i/>
          <w:iCs/>
          <w:noProof/>
          <w:color w:val="000000" w:themeColor="text1"/>
          <w:sz w:val="26"/>
          <w:szCs w:val="26"/>
          <w:lang w:val="vi-VN"/>
        </w:rPr>
        <w:t xml:space="preserve"> thì thời hiệu xử phạt vi phạm hành chính theo quy định của pháp luật về quản lý thuế, pháp luật về kiểm toán độc lập và </w:t>
      </w:r>
      <w:r w:rsidRPr="00ED5E38">
        <w:rPr>
          <w:i/>
          <w:iCs/>
          <w:noProof/>
          <w:color w:val="000000" w:themeColor="text1"/>
          <w:sz w:val="26"/>
          <w:szCs w:val="26"/>
          <w:u w:val="single"/>
          <w:lang w:val="vi-VN"/>
        </w:rPr>
        <w:t>pháp luật về cạnh tranh</w:t>
      </w:r>
      <w:r w:rsidRPr="00ED5E38">
        <w:rPr>
          <w:i/>
          <w:iCs/>
          <w:noProof/>
          <w:color w:val="000000" w:themeColor="text1"/>
          <w:sz w:val="26"/>
          <w:szCs w:val="26"/>
          <w:lang w:val="vi-VN"/>
        </w:rPr>
        <w:t xml:space="preserve">”. </w:t>
      </w:r>
    </w:p>
    <w:p w14:paraId="66BB1AAA"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(hoặc quy định theo phương án Bộ Công an đã đề xuất cho dự án Luật Xử lý vi phạm hành chính:  </w:t>
      </w:r>
    </w:p>
    <w:p w14:paraId="32FAD46F"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“Thời hiệu xử phạt vi phạm hành chính là từ 01 năm đến 03 năm, trừ trường hợp vi phạm hành chính về lĩnh vực khác mà luật chuyên ngành quy định thì thời hiệu xử phạt vi phạm hành chính theo quy định của pháp luật chuyên ngành đó.”</w:t>
      </w:r>
    </w:p>
    <w:p w14:paraId="3933D360" w14:textId="28CAE2BD" w:rsidR="00AA6F69" w:rsidRPr="00966A0D" w:rsidRDefault="00AA6F69" w:rsidP="00893D79">
      <w:pPr>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t xml:space="preserve">+ Về nội dung giải pháp hướng tới không lập biên bản vi phạm hành chính </w:t>
      </w:r>
    </w:p>
    <w:p w14:paraId="20ECC7D7" w14:textId="4F25D8FA"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Khoản 1 Điều 58 Luật Xử lý vi phạm hành chính quy định: </w:t>
      </w:r>
      <w:r w:rsidRPr="00ED5E38">
        <w:rPr>
          <w:i/>
          <w:iCs/>
          <w:noProof/>
          <w:sz w:val="26"/>
          <w:szCs w:val="26"/>
          <w:lang w:val="vi-VN"/>
        </w:rPr>
        <w:t>“Khi phát hiện hành vi vi phạm hành chính thuộc lĩnh vực quản lý của mình, người có thẩm quyền đang thi hành công vụ phải kịp thời lập biên bản vi phạm hành chính, trừ trường hợp xử phạt không lập biên bản theo quy định tại </w:t>
      </w:r>
      <w:bookmarkStart w:id="32" w:name="tc_27"/>
      <w:r w:rsidRPr="00ED5E38">
        <w:rPr>
          <w:i/>
          <w:iCs/>
          <w:noProof/>
          <w:sz w:val="26"/>
          <w:szCs w:val="26"/>
          <w:lang w:val="vi-VN"/>
        </w:rPr>
        <w:t>khoản 1 Điều 56 của Luật này</w:t>
      </w:r>
      <w:bookmarkEnd w:id="32"/>
      <w:r w:rsidRPr="00ED5E38">
        <w:rPr>
          <w:i/>
          <w:iCs/>
          <w:noProof/>
          <w:sz w:val="26"/>
          <w:szCs w:val="26"/>
          <w:lang w:val="vi-VN"/>
        </w:rPr>
        <w:t>.”</w:t>
      </w:r>
    </w:p>
    <w:p w14:paraId="66F5698A" w14:textId="2F8514D1" w:rsidR="00AA6F69" w:rsidRPr="00ED5E38" w:rsidRDefault="00AA6F69" w:rsidP="00893D79">
      <w:pPr>
        <w:spacing w:before="120" w:after="120" w:line="340" w:lineRule="exact"/>
        <w:ind w:firstLine="709"/>
        <w:jc w:val="both"/>
        <w:rPr>
          <w:rFonts w:eastAsia="Arial"/>
          <w:iCs/>
          <w:noProof/>
          <w:sz w:val="26"/>
          <w:szCs w:val="26"/>
          <w:lang w:val="vi-VN"/>
        </w:rPr>
      </w:pPr>
      <w:r w:rsidRPr="00ED5E38">
        <w:rPr>
          <w:rFonts w:eastAsia="Arial"/>
          <w:noProof/>
          <w:sz w:val="26"/>
          <w:szCs w:val="26"/>
          <w:lang w:val="vi-VN"/>
        </w:rPr>
        <w:lastRenderedPageBreak/>
        <w:t xml:space="preserve">Nội dung của chính sách hướng tới một quy trình, một thủ tục xử lý đối với </w:t>
      </w:r>
      <w:r w:rsidRPr="00ED5E38">
        <w:rPr>
          <w:rFonts w:eastAsia="Arial"/>
          <w:iCs/>
          <w:noProof/>
          <w:sz w:val="26"/>
          <w:szCs w:val="26"/>
          <w:lang w:val="vi-VN"/>
        </w:rPr>
        <w:t>các hành vi vi phạm hành chính về thỏa thuận hạn chế cạnh tranh, lạm dụng vị trí thống lĩnh thị trường, lạm dụng vị trí độc quyền, quy định về tập trung kinh tế, cạnh tranh không lành mạnh, do đó sẽ có mâu thuẫn với Luật Xử lý vi phạm hành chính khi không lập biên bản vi phạm hành chính.</w:t>
      </w:r>
    </w:p>
    <w:p w14:paraId="4B905EDF" w14:textId="0C9A1591"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Tuy nhiên, việc không áp dụng thủ tục lập biên bản vi phạm hành chính đối với các hành vi vi phạm pháp luật cạnh tranh nêu trên là cần thiết vì các lý do sau đây: </w:t>
      </w:r>
    </w:p>
    <w:p w14:paraId="7C948167" w14:textId="77777777"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Thứ nhất,</w:t>
      </w:r>
      <w:r w:rsidRPr="00ED5E38">
        <w:rPr>
          <w:noProof/>
          <w:color w:val="000000" w:themeColor="text1"/>
          <w:sz w:val="26"/>
          <w:szCs w:val="26"/>
          <w:lang w:val="vi-VN"/>
        </w:rPr>
        <w:t xml:space="preserve"> việc xác định các hành vi này có tính chất phức tạp, đòi hỏi phân tích thị trường liên quan, đánh giá sức mạnh thị trường, tác động hạn chế cạnh tranh và xem xét nhiều tài liệu, dữ liệu chuyên sâu, do đó không thể phát hiện một cách đơn giản, tại chỗ và ghi nhận ngay bằng biên bản vi phạm hành chính. </w:t>
      </w:r>
    </w:p>
    <w:p w14:paraId="683537F0" w14:textId="77777777"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Thứ hai,</w:t>
      </w:r>
      <w:r w:rsidRPr="00ED5E38">
        <w:rPr>
          <w:noProof/>
          <w:color w:val="000000" w:themeColor="text1"/>
          <w:sz w:val="26"/>
          <w:szCs w:val="26"/>
          <w:lang w:val="vi-VN"/>
        </w:rPr>
        <w:t xml:space="preserve"> mức phạt tiền đối với các hành vi vi phạm về cạnh tranh thường rất lớn, được xác định trên cơ sở tỷ lệ phần trăm tổng doanh thu của doanh nghiệp vi phạm trên thị trường liên quan trong năm tài chính liền kề trước năm thực hiện hành vi vi phạm, nên không thể xác định đầy đủ tại thời điểm lập biên bản và cũng không bảo đảm tính khả thi khi yêu cầu đại diện doanh nghiệp ký xác nhận. </w:t>
      </w:r>
    </w:p>
    <w:p w14:paraId="5CAFE533" w14:textId="77777777"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Thứ ba,</w:t>
      </w:r>
      <w:r w:rsidRPr="00ED5E38">
        <w:rPr>
          <w:noProof/>
          <w:color w:val="000000" w:themeColor="text1"/>
          <w:sz w:val="26"/>
          <w:szCs w:val="26"/>
          <w:lang w:val="vi-VN"/>
        </w:rPr>
        <w:t xml:space="preserve"> Luật Cạnh tranh đã thiết lập quy trình điều tra, xử lý chuyên biệt mang tính tố tụng với các bước điều tra, kết luận điều tra, tổ chức phiên điều trần và ra quyết định xử lý vụ việc cạnh tranh. Quy trình này mang tính chất tương tự một thủ tục bán tư pháp (quasi-judicial), bảo đảm: (i) quyền tiếp cận hồ sơ; (ii) quyền giải trình, tranh luận; (iii) quyền tham gia phiên điều trần; (iv) cơ chế khiếu nại đặc thù. </w:t>
      </w:r>
    </w:p>
    <w:p w14:paraId="60A1BD70" w14:textId="48C367CB"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Vì vậy, việc không áp dụng thủ tục lập biên bản vi phạm hành chính theo Luật Xử lý vi phạm hành chính sẽ phù hợp với tính chất đặc thù của vi phạm trong lĩnh vực cạnh tranh cũng như đảm bảo tính thống nhất với các quy định của Luật Cạnh tranh.</w:t>
      </w:r>
    </w:p>
    <w:p w14:paraId="594EE1FD" w14:textId="7D635406" w:rsidR="00AA6F69" w:rsidRPr="00ED5E38" w:rsidRDefault="00AA6F69" w:rsidP="00893D79">
      <w:pPr>
        <w:spacing w:before="120" w:after="120" w:line="340" w:lineRule="exact"/>
        <w:ind w:firstLine="709"/>
        <w:jc w:val="both"/>
        <w:rPr>
          <w:noProof/>
          <w:sz w:val="26"/>
          <w:szCs w:val="26"/>
          <w:lang w:val="vi-VN"/>
        </w:rPr>
      </w:pPr>
      <w:r w:rsidRPr="00ED5E38">
        <w:rPr>
          <w:rFonts w:eastAsia="Arial"/>
          <w:iCs/>
          <w:noProof/>
          <w:sz w:val="26"/>
          <w:szCs w:val="26"/>
          <w:lang w:val="vi-VN"/>
        </w:rPr>
        <w:t xml:space="preserve">Do đó, đề xuất </w:t>
      </w:r>
      <w:r w:rsidRPr="00ED5E38">
        <w:rPr>
          <w:noProof/>
          <w:sz w:val="26"/>
          <w:szCs w:val="26"/>
          <w:lang w:val="vi-VN"/>
        </w:rPr>
        <w:t>bổ sung điểm c vào sau điểm b khoản 1 Điều 56 về các trường hợp xử phạt vi phạm hành chính không lập biên bản như sau:</w:t>
      </w:r>
    </w:p>
    <w:p w14:paraId="4D9CEA19" w14:textId="42409847" w:rsidR="00AA6F69" w:rsidRPr="00ED5E38" w:rsidRDefault="00AA6F69" w:rsidP="00893D79">
      <w:pPr>
        <w:spacing w:before="120" w:after="120" w:line="340" w:lineRule="exact"/>
        <w:ind w:firstLine="709"/>
        <w:jc w:val="both"/>
        <w:rPr>
          <w:noProof/>
          <w:color w:val="000000" w:themeColor="text1"/>
          <w:sz w:val="26"/>
          <w:szCs w:val="26"/>
          <w:lang w:val="vi-VN"/>
        </w:rPr>
      </w:pPr>
      <w:r w:rsidRPr="00ED5E38">
        <w:rPr>
          <w:i/>
          <w:iCs/>
          <w:noProof/>
          <w:sz w:val="26"/>
          <w:szCs w:val="26"/>
          <w:lang w:val="vi-VN"/>
        </w:rPr>
        <w:t>“c) Hành vi vi phạm quy định về thỏa thuận hạn chế cạnh tranh; lạm dụng vị trí thống lĩnh thị trường, lạm dụng vị trí độc quyền; tập trung kinh tế; cạnh tranh không lành mạnh do cơ quan có thẩm quyền điều tra, xử lý theo quy định của Luật Cạnh tranh”</w:t>
      </w:r>
      <w:r w:rsidRPr="00ED5E38">
        <w:rPr>
          <w:noProof/>
          <w:sz w:val="26"/>
          <w:szCs w:val="26"/>
          <w:lang w:val="vi-VN"/>
        </w:rPr>
        <w:t>.</w:t>
      </w:r>
    </w:p>
    <w:p w14:paraId="5BB476A5" w14:textId="076E9AC3" w:rsidR="000F0D45" w:rsidRPr="00966A0D" w:rsidRDefault="000F0D45" w:rsidP="00893D79">
      <w:pPr>
        <w:spacing w:before="120" w:after="120" w:line="340" w:lineRule="exact"/>
        <w:ind w:firstLine="709"/>
        <w:jc w:val="both"/>
        <w:rPr>
          <w:noProof/>
          <w:color w:val="000000" w:themeColor="text1"/>
          <w:sz w:val="26"/>
          <w:szCs w:val="26"/>
          <w:lang w:val="vi-VN"/>
        </w:rPr>
      </w:pPr>
      <w:r w:rsidRPr="00966A0D">
        <w:rPr>
          <w:noProof/>
          <w:color w:val="000000" w:themeColor="text1"/>
          <w:sz w:val="26"/>
          <w:szCs w:val="26"/>
          <w:lang w:val="vi-VN"/>
        </w:rPr>
        <w:t>+ Về nội dung giải pháp hướng tới việc quy định quyết định xử lý vụ việc cạnh tranh thay cho quyết định xử phạt vi phạm hành chính về cạnh tranh</w:t>
      </w:r>
    </w:p>
    <w:p w14:paraId="35388D5B" w14:textId="18E6F69A"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Khoản 1 Điều 6</w:t>
      </w:r>
      <w:r w:rsidR="00AA6F69" w:rsidRPr="00ED5E38">
        <w:rPr>
          <w:iCs/>
          <w:noProof/>
          <w:color w:val="000000" w:themeColor="text1"/>
          <w:sz w:val="26"/>
          <w:szCs w:val="26"/>
          <w:lang w:val="vi-VN"/>
        </w:rPr>
        <w:t>5</w:t>
      </w:r>
      <w:r w:rsidRPr="00ED5E38">
        <w:rPr>
          <w:iCs/>
          <w:noProof/>
          <w:color w:val="000000" w:themeColor="text1"/>
          <w:sz w:val="26"/>
          <w:szCs w:val="26"/>
          <w:lang w:val="vi-VN"/>
        </w:rPr>
        <w:t xml:space="preserve"> Luật Xử lý vi phạm hành chính quy định:</w:t>
      </w:r>
    </w:p>
    <w:p w14:paraId="1227DADD" w14:textId="77777777" w:rsidR="00AA6F69" w:rsidRPr="00ED5E38" w:rsidRDefault="000F0D45" w:rsidP="00893D79">
      <w:pPr>
        <w:spacing w:before="120" w:after="120" w:line="340" w:lineRule="exact"/>
        <w:ind w:firstLine="709"/>
        <w:jc w:val="both"/>
        <w:rPr>
          <w:b/>
          <w:bCs/>
          <w:i/>
          <w:noProof/>
          <w:color w:val="000000" w:themeColor="text1"/>
          <w:sz w:val="26"/>
          <w:szCs w:val="26"/>
          <w:lang w:val="vi-VN"/>
        </w:rPr>
      </w:pPr>
      <w:bookmarkStart w:id="33" w:name="dieu_68"/>
      <w:r w:rsidRPr="00ED5E38">
        <w:rPr>
          <w:b/>
          <w:bCs/>
          <w:i/>
          <w:noProof/>
          <w:color w:val="000000" w:themeColor="text1"/>
          <w:sz w:val="26"/>
          <w:szCs w:val="26"/>
          <w:lang w:val="vi-VN"/>
        </w:rPr>
        <w:t>“</w:t>
      </w:r>
      <w:bookmarkStart w:id="34" w:name="dieu_65"/>
      <w:r w:rsidR="00AA6F69" w:rsidRPr="00ED5E38">
        <w:rPr>
          <w:b/>
          <w:bCs/>
          <w:i/>
          <w:noProof/>
          <w:color w:val="000000" w:themeColor="text1"/>
          <w:sz w:val="26"/>
          <w:szCs w:val="26"/>
          <w:lang w:val="vi-VN"/>
        </w:rPr>
        <w:t>Điều 65. Những trường hợp không ra quyết định xử phạt vi phạm hành chính</w:t>
      </w:r>
      <w:bookmarkEnd w:id="34"/>
    </w:p>
    <w:p w14:paraId="1E041B37" w14:textId="77777777" w:rsidR="00AA6F69"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1. Không ra quyết định xử phạt vi phạm hành chính trong những trường hợp sau đây:</w:t>
      </w:r>
    </w:p>
    <w:p w14:paraId="1E94D909" w14:textId="77777777" w:rsidR="00AA6F69"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a) Trường hợp quy định tại </w:t>
      </w:r>
      <w:bookmarkStart w:id="35" w:name="tc_32"/>
      <w:r w:rsidRPr="00ED5E38">
        <w:rPr>
          <w:i/>
          <w:noProof/>
          <w:color w:val="000000" w:themeColor="text1"/>
          <w:sz w:val="26"/>
          <w:szCs w:val="26"/>
          <w:lang w:val="vi-VN"/>
        </w:rPr>
        <w:t>Điều 11 của Luật này</w:t>
      </w:r>
      <w:bookmarkEnd w:id="35"/>
      <w:r w:rsidRPr="00ED5E38">
        <w:rPr>
          <w:i/>
          <w:noProof/>
          <w:color w:val="000000" w:themeColor="text1"/>
          <w:sz w:val="26"/>
          <w:szCs w:val="26"/>
          <w:lang w:val="vi-VN"/>
        </w:rPr>
        <w:t>;</w:t>
      </w:r>
    </w:p>
    <w:p w14:paraId="4F56EFC2" w14:textId="77777777" w:rsidR="00AA6F69"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b) Không xác định được đối tượng vi phạm hành chính;</w:t>
      </w:r>
    </w:p>
    <w:p w14:paraId="5538B5E0" w14:textId="77777777" w:rsidR="00AA6F69"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lastRenderedPageBreak/>
        <w:t>c) Hết thời hiệu xử phạt vi phạm hành chính quy định tại </w:t>
      </w:r>
      <w:bookmarkStart w:id="36" w:name="tc_33"/>
      <w:r w:rsidRPr="00ED5E38">
        <w:rPr>
          <w:i/>
          <w:noProof/>
          <w:color w:val="000000" w:themeColor="text1"/>
          <w:sz w:val="26"/>
          <w:szCs w:val="26"/>
          <w:lang w:val="vi-VN"/>
        </w:rPr>
        <w:t>Điều 6</w:t>
      </w:r>
      <w:bookmarkEnd w:id="36"/>
      <w:r w:rsidRPr="00ED5E38">
        <w:rPr>
          <w:i/>
          <w:noProof/>
          <w:color w:val="000000" w:themeColor="text1"/>
          <w:sz w:val="26"/>
          <w:szCs w:val="26"/>
          <w:lang w:val="vi-VN"/>
        </w:rPr>
        <w:t> hoặc hết thời hạn ra quyết định xử phạt quy định tại </w:t>
      </w:r>
      <w:bookmarkStart w:id="37" w:name="tc_34"/>
      <w:r w:rsidRPr="00ED5E38">
        <w:rPr>
          <w:i/>
          <w:noProof/>
          <w:color w:val="000000" w:themeColor="text1"/>
          <w:sz w:val="26"/>
          <w:szCs w:val="26"/>
          <w:lang w:val="vi-VN"/>
        </w:rPr>
        <w:t>khoản 3 Điều 63 hoặc khoản 1 Điều 66 của Luật này</w:t>
      </w:r>
      <w:bookmarkEnd w:id="37"/>
      <w:r w:rsidRPr="00ED5E38">
        <w:rPr>
          <w:i/>
          <w:noProof/>
          <w:color w:val="000000" w:themeColor="text1"/>
          <w:sz w:val="26"/>
          <w:szCs w:val="26"/>
          <w:lang w:val="vi-VN"/>
        </w:rPr>
        <w:t>;</w:t>
      </w:r>
    </w:p>
    <w:p w14:paraId="7BA62864" w14:textId="77777777" w:rsidR="00AA6F69"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d) Cá nhân vi phạm hành chính chết, mất tích, tổ chức vi phạm hành chính đã giải thể, phá sản trong thời gian xem xét ra quyết định xử phạt;</w:t>
      </w:r>
    </w:p>
    <w:p w14:paraId="55C86F7D" w14:textId="142C6E66" w:rsidR="000F0D45" w:rsidRPr="00ED5E38" w:rsidRDefault="00AA6F69"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đ) Chuyển hồ sơ vụ vi phạm có dấu hiệu tội phạm theo quy định tại Điều 62 của Luật này</w:t>
      </w:r>
      <w:bookmarkEnd w:id="33"/>
      <w:r w:rsidR="000F0D45" w:rsidRPr="00ED5E38">
        <w:rPr>
          <w:i/>
          <w:noProof/>
          <w:color w:val="000000" w:themeColor="text1"/>
          <w:sz w:val="26"/>
          <w:szCs w:val="26"/>
          <w:lang w:val="vi-VN"/>
        </w:rPr>
        <w:t>.”</w:t>
      </w:r>
    </w:p>
    <w:p w14:paraId="0569FC55" w14:textId="77777777" w:rsidR="000F0D45" w:rsidRPr="00ED5E38" w:rsidRDefault="000F0D45"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Điều 94 Luật Cạnh tranh quy định:</w:t>
      </w:r>
    </w:p>
    <w:p w14:paraId="4E020E43"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bookmarkStart w:id="38" w:name="dieu_94"/>
      <w:r w:rsidRPr="00ED5E38">
        <w:rPr>
          <w:b/>
          <w:bCs/>
          <w:i/>
          <w:noProof/>
          <w:color w:val="000000" w:themeColor="text1"/>
          <w:sz w:val="26"/>
          <w:szCs w:val="26"/>
          <w:lang w:val="vi-VN"/>
        </w:rPr>
        <w:t>“Điều 94. Quyết định xử lý vụ việc cạnh tranh</w:t>
      </w:r>
      <w:bookmarkEnd w:id="38"/>
    </w:p>
    <w:p w14:paraId="3FEA01D2"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1. Quyết định xử lý vụ việc cạnh tranh có các nội dung chủ yếu sau đây:</w:t>
      </w:r>
    </w:p>
    <w:p w14:paraId="0F54BB32"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a) Tóm tắt nội dung vụ việc;</w:t>
      </w:r>
    </w:p>
    <w:p w14:paraId="409E21D7"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b) Phân tích vụ việc;</w:t>
      </w:r>
    </w:p>
    <w:p w14:paraId="0D85032F"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c) Kết luận xử lý vụ việc.”</w:t>
      </w:r>
    </w:p>
    <w:p w14:paraId="6EF1A990" w14:textId="77777777" w:rsidR="00AA6F69" w:rsidRPr="0034561D" w:rsidRDefault="00AA6F69" w:rsidP="00893D79">
      <w:pPr>
        <w:spacing w:before="120" w:after="120" w:line="340" w:lineRule="exact"/>
        <w:ind w:firstLine="709"/>
        <w:jc w:val="both"/>
        <w:rPr>
          <w:iCs/>
          <w:noProof/>
          <w:color w:val="000000" w:themeColor="text1"/>
          <w:spacing w:val="-2"/>
          <w:sz w:val="26"/>
          <w:szCs w:val="26"/>
          <w:lang w:val="vi-VN"/>
        </w:rPr>
      </w:pPr>
      <w:r w:rsidRPr="0034561D">
        <w:rPr>
          <w:iCs/>
          <w:noProof/>
          <w:color w:val="000000" w:themeColor="text1"/>
          <w:spacing w:val="-2"/>
          <w:sz w:val="26"/>
          <w:szCs w:val="26"/>
          <w:lang w:val="vi-VN"/>
        </w:rPr>
        <w:t>Nội dung của chính sách hướng tới một quy trình, một thủ tục xử lý đối với các hành vi vi phạm hành chính về thỏa thuận hạn chế cạnh tranh, lạm dụng vị trí thống lĩnh thị trường, lạm dụng vị trí độc quyền, quy định về tập trung kinh tế, cạnh tranh không lành mạnh, do đó, sau khi cơ quan, người có thẩm quyền ra Quyết định xử lý vụ việc cạnh tranh sẽ không phải ra Quyết định xử phạt vi phạm hành chính, giảm thủ tục, quy trình, lãng phí nguồn lực. Tuy nhiên, giải pháp này có tạo ra xung đột đối với quy định tại khoản 1 Điều 65 Luật Xử lý vi phạm hành chính do quy định hiện nay không có bao gồm trường hợp nêu trên.</w:t>
      </w:r>
    </w:p>
    <w:p w14:paraId="4CEA7B25" w14:textId="77777777" w:rsidR="00AA6F69" w:rsidRPr="00ED5E38" w:rsidRDefault="00AA6F69" w:rsidP="00893D79">
      <w:pPr>
        <w:spacing w:before="120" w:after="120" w:line="340" w:lineRule="exact"/>
        <w:ind w:firstLine="709"/>
        <w:jc w:val="both"/>
        <w:rPr>
          <w:iCs/>
          <w:noProof/>
          <w:color w:val="000000" w:themeColor="text1"/>
          <w:sz w:val="26"/>
          <w:szCs w:val="26"/>
          <w:lang w:val="vi-VN"/>
        </w:rPr>
      </w:pPr>
      <w:r w:rsidRPr="00ED5E38">
        <w:rPr>
          <w:iCs/>
          <w:noProof/>
          <w:color w:val="000000" w:themeColor="text1"/>
          <w:sz w:val="26"/>
          <w:szCs w:val="26"/>
          <w:lang w:val="vi-VN"/>
        </w:rPr>
        <w:t>Do đó, đề xuất sửa đổi, bổ sung như sau:</w:t>
      </w:r>
    </w:p>
    <w:p w14:paraId="5A994006" w14:textId="77777777" w:rsidR="00AA6F69" w:rsidRPr="00ED5E38" w:rsidRDefault="00AA6F69"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iCs/>
          <w:noProof/>
          <w:sz w:val="26"/>
          <w:szCs w:val="26"/>
          <w:lang w:val="vi-VN"/>
        </w:rPr>
      </w:pPr>
      <w:r w:rsidRPr="00ED5E38">
        <w:rPr>
          <w:iCs/>
          <w:noProof/>
          <w:sz w:val="26"/>
          <w:szCs w:val="26"/>
          <w:lang w:val="vi-VN"/>
        </w:rPr>
        <w:t xml:space="preserve">- Bổ sung khoản 1a vào sau khoản 1 Điều 94 Luật Cạnh tranh như sau: </w:t>
      </w:r>
    </w:p>
    <w:p w14:paraId="4C3801FC" w14:textId="77777777" w:rsidR="006B1488" w:rsidRPr="00ED5E38" w:rsidRDefault="00AA6F69"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i/>
          <w:iCs/>
          <w:noProof/>
          <w:sz w:val="26"/>
          <w:szCs w:val="26"/>
          <w:lang w:val="vi-VN"/>
        </w:rPr>
      </w:pPr>
      <w:r w:rsidRPr="00ED5E38">
        <w:rPr>
          <w:i/>
          <w:iCs/>
          <w:noProof/>
          <w:sz w:val="26"/>
          <w:szCs w:val="26"/>
          <w:lang w:val="vi-VN"/>
        </w:rPr>
        <w:t>“1a. Quyết định xử lý vụ việc cạnh tranh đã bao gồm nội dung xử phạt vi phạm hành chính về cạnh tranh và thay cho quyết định xử phạt vi phạm hành chính về cạnh tranh”</w:t>
      </w:r>
    </w:p>
    <w:p w14:paraId="6319D876" w14:textId="77777777" w:rsidR="006B1488" w:rsidRPr="00ED5E38" w:rsidRDefault="00AA6F69" w:rsidP="00893D79">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noProof/>
          <w:sz w:val="26"/>
          <w:szCs w:val="26"/>
          <w:lang w:val="vi-VN"/>
        </w:rPr>
      </w:pPr>
      <w:r w:rsidRPr="00ED5E38">
        <w:rPr>
          <w:noProof/>
          <w:sz w:val="26"/>
          <w:szCs w:val="26"/>
          <w:lang w:val="vi-VN"/>
        </w:rPr>
        <w:t>- Bổ sung điểm e khoản 1 Điều 65 Luật Xử lý vi phạm hành chính như sau:</w:t>
      </w:r>
    </w:p>
    <w:p w14:paraId="607FFEDC" w14:textId="77777777" w:rsidR="0034561D" w:rsidRPr="0034561D" w:rsidRDefault="00AA6F69" w:rsidP="0034561D">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noProof/>
          <w:sz w:val="26"/>
          <w:szCs w:val="26"/>
          <w:lang w:val="vi-VN"/>
        </w:rPr>
      </w:pPr>
      <w:r w:rsidRPr="00ED5E38">
        <w:rPr>
          <w:i/>
          <w:iCs/>
          <w:noProof/>
          <w:sz w:val="26"/>
          <w:szCs w:val="26"/>
          <w:lang w:val="vi-VN"/>
        </w:rPr>
        <w:t>“e) Trường hợp đã có Quyết định xử lý vụ việc cạnh tranh theo quy định của Luật Cạnh tranh”</w:t>
      </w:r>
      <w:r w:rsidR="000F0D45" w:rsidRPr="00ED5E38">
        <w:rPr>
          <w:iCs/>
          <w:noProof/>
          <w:color w:val="000000" w:themeColor="text1"/>
          <w:sz w:val="26"/>
          <w:szCs w:val="26"/>
          <w:lang w:val="vi-VN"/>
        </w:rPr>
        <w:t xml:space="preserve"> </w:t>
      </w:r>
    </w:p>
    <w:p w14:paraId="5E561F7C" w14:textId="77777777" w:rsidR="0034561D" w:rsidRPr="0034561D" w:rsidRDefault="0034561D" w:rsidP="0034561D">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b/>
          <w:bCs/>
          <w:noProof/>
          <w:sz w:val="26"/>
          <w:szCs w:val="26"/>
          <w:lang w:val="vi-VN"/>
        </w:rPr>
      </w:pPr>
      <w:r w:rsidRPr="0034561D">
        <w:rPr>
          <w:b/>
          <w:bCs/>
          <w:noProof/>
          <w:sz w:val="26"/>
          <w:szCs w:val="26"/>
          <w:lang w:val="vi-VN"/>
        </w:rPr>
        <w:t xml:space="preserve">+ </w:t>
      </w:r>
      <w:r w:rsidR="000F0D45" w:rsidRPr="0034561D">
        <w:rPr>
          <w:b/>
          <w:bCs/>
          <w:noProof/>
          <w:color w:val="000000" w:themeColor="text1"/>
          <w:sz w:val="26"/>
          <w:szCs w:val="26"/>
          <w:lang w:val="vi-VN"/>
        </w:rPr>
        <w:t>Về việc sửa đổi, bổ sung hoặc ban hành mới, thay thế, bãi bỏ văn bản quy phạm pháp luật</w:t>
      </w:r>
    </w:p>
    <w:p w14:paraId="60AB7327" w14:textId="77777777" w:rsidR="0034561D" w:rsidRPr="0034561D" w:rsidRDefault="006B1488" w:rsidP="0034561D">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noProof/>
          <w:sz w:val="26"/>
          <w:szCs w:val="26"/>
          <w:lang w:val="vi-VN"/>
        </w:rPr>
      </w:pPr>
      <w:r w:rsidRPr="00ED5E38">
        <w:rPr>
          <w:noProof/>
          <w:color w:val="000000" w:themeColor="text1"/>
          <w:sz w:val="26"/>
          <w:szCs w:val="26"/>
          <w:lang w:val="vi-VN"/>
        </w:rPr>
        <w:t>Tại Luật Xử lý vi phạm hành chính, đề xuất sửa đổi như sau:</w:t>
      </w:r>
    </w:p>
    <w:p w14:paraId="39EC600E" w14:textId="6874B75E" w:rsidR="006B1488" w:rsidRPr="0034561D" w:rsidRDefault="006B1488" w:rsidP="0034561D">
      <w:pPr>
        <w:widowControl w:val="0"/>
        <w:pBdr>
          <w:top w:val="dotted" w:sz="4" w:space="0" w:color="FFFFFF"/>
          <w:left w:val="dotted" w:sz="4" w:space="0" w:color="FFFFFF"/>
          <w:bottom w:val="dotted" w:sz="4" w:space="15" w:color="FFFFFF"/>
          <w:right w:val="dotted" w:sz="4" w:space="29" w:color="FFFFFF"/>
        </w:pBdr>
        <w:shd w:val="clear" w:color="auto" w:fill="FFFFFF"/>
        <w:tabs>
          <w:tab w:val="left" w:pos="3765"/>
          <w:tab w:val="left" w:pos="6405"/>
        </w:tabs>
        <w:spacing w:before="120" w:after="120" w:line="340" w:lineRule="exact"/>
        <w:ind w:firstLine="709"/>
        <w:contextualSpacing/>
        <w:jc w:val="both"/>
        <w:rPr>
          <w:noProof/>
          <w:sz w:val="26"/>
          <w:szCs w:val="26"/>
          <w:lang w:val="vi-VN"/>
        </w:rPr>
      </w:pPr>
      <w:r w:rsidRPr="00ED5E38">
        <w:rPr>
          <w:noProof/>
          <w:color w:val="000000" w:themeColor="text1"/>
          <w:sz w:val="26"/>
          <w:szCs w:val="26"/>
          <w:lang w:val="vi-VN"/>
        </w:rPr>
        <w:t xml:space="preserve">- Sửa đổi, bổ sung đoạn thứ ba điểm a khoản 1 Điều 6 như sau: </w:t>
      </w:r>
    </w:p>
    <w:p w14:paraId="3C2DC986" w14:textId="77777777" w:rsidR="006B1488" w:rsidRPr="00ED5E38" w:rsidRDefault="006B1488"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“Vi phạm hành chính về thuế, kiểm toán độc lập và </w:t>
      </w:r>
      <w:r w:rsidRPr="00ED5E38">
        <w:rPr>
          <w:i/>
          <w:iCs/>
          <w:noProof/>
          <w:color w:val="000000" w:themeColor="text1"/>
          <w:sz w:val="26"/>
          <w:szCs w:val="26"/>
          <w:u w:val="single"/>
          <w:lang w:val="vi-VN"/>
        </w:rPr>
        <w:t>cạnh tranh</w:t>
      </w:r>
      <w:r w:rsidRPr="00ED5E38">
        <w:rPr>
          <w:i/>
          <w:iCs/>
          <w:noProof/>
          <w:color w:val="000000" w:themeColor="text1"/>
          <w:sz w:val="26"/>
          <w:szCs w:val="26"/>
          <w:lang w:val="vi-VN"/>
        </w:rPr>
        <w:t xml:space="preserve"> thì thời hiệu xử phạt vi phạm hành chính theo quy định của pháp luật về quản lý thuế, pháp luật về kiểm toán độc lập và </w:t>
      </w:r>
      <w:r w:rsidRPr="00ED5E38">
        <w:rPr>
          <w:i/>
          <w:iCs/>
          <w:noProof/>
          <w:color w:val="000000" w:themeColor="text1"/>
          <w:sz w:val="26"/>
          <w:szCs w:val="26"/>
          <w:u w:val="single"/>
          <w:lang w:val="vi-VN"/>
        </w:rPr>
        <w:t>pháp luật về cạnh tranh</w:t>
      </w:r>
      <w:r w:rsidRPr="00ED5E38">
        <w:rPr>
          <w:i/>
          <w:iCs/>
          <w:noProof/>
          <w:color w:val="000000" w:themeColor="text1"/>
          <w:sz w:val="26"/>
          <w:szCs w:val="26"/>
          <w:lang w:val="vi-VN"/>
        </w:rPr>
        <w:t xml:space="preserve">”. </w:t>
      </w:r>
    </w:p>
    <w:p w14:paraId="4398DFF6" w14:textId="77777777" w:rsidR="006B1488" w:rsidRPr="00ED5E38" w:rsidRDefault="006B1488"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lastRenderedPageBreak/>
        <w:t xml:space="preserve">(hoặc có thể quy định theo phương án Bộ Công an đã đề xuất cho dự án Luật Xử lý vi phạm hành chính (sửa đổi):  </w:t>
      </w:r>
    </w:p>
    <w:p w14:paraId="5AD4C8BE" w14:textId="77777777" w:rsidR="006B1488" w:rsidRPr="00ED5E38" w:rsidRDefault="006B1488"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“Thời hiệu xử phạt vi phạm hành chính là từ 01 năm đến 03 năm, trừ trường hợp vi phạm hành chính về lĩnh vực khác mà luật chuyên ngành quy định thì thời hiệu xử phạt vi phạm hành chính theo quy định của pháp luật chuyên ngành đó.”</w:t>
      </w:r>
    </w:p>
    <w:p w14:paraId="3025FBD6" w14:textId="77777777" w:rsidR="006B1488" w:rsidRPr="00ED5E38" w:rsidRDefault="006B1488"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Bổ sung điểm c vào sau điểm b khoản 1 Điều 56 về các trường hợp xử phạt vi phạm hành chính không lập biên bản như sau:</w:t>
      </w:r>
    </w:p>
    <w:p w14:paraId="3C3B2047" w14:textId="77777777" w:rsidR="006B1488" w:rsidRPr="00ED5E38" w:rsidRDefault="006B1488" w:rsidP="00893D79">
      <w:pPr>
        <w:tabs>
          <w:tab w:val="right" w:leader="dot" w:pos="7920"/>
        </w:tabs>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“c) Hành vi vi phạm quy định về thỏa thuận hạn chế cạnh tranh; lạm dụng vị trí thống lĩnh thị trường, lạm dụng vị trí độc quyền; tập trung kinh tế; cạnh tranh không lành mạnh do cơ quan có thẩm quyền điều tra, xử lý theo quy định của Luật Cạnh tranh”.</w:t>
      </w:r>
    </w:p>
    <w:p w14:paraId="43520DF9" w14:textId="77777777" w:rsidR="006B1488" w:rsidRPr="00ED5E38" w:rsidRDefault="006B1488"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Bổ sung điểm e vào sau điểm đ khoản 1 Điều 65 về những trường hợp không ra quyết định xử phạt vi phạm hành chính như sau:</w:t>
      </w:r>
    </w:p>
    <w:p w14:paraId="3DEEDC8E" w14:textId="77777777" w:rsidR="006B1488" w:rsidRPr="00ED5E38" w:rsidRDefault="006B1488" w:rsidP="00893D79">
      <w:pPr>
        <w:tabs>
          <w:tab w:val="right" w:leader="dot" w:pos="7920"/>
        </w:tabs>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“e) Trường hợp đã có Quyết định xử lý vụ việc cạnh tranh theo quy định của Luật Cạnh tranh.”</w:t>
      </w:r>
    </w:p>
    <w:p w14:paraId="2315BEDB" w14:textId="44E2A0EE" w:rsidR="000F0D45" w:rsidRPr="00ED5E38" w:rsidRDefault="006B1488"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Ngoài ra, những nội dung Luật Cạnh tranh không quy định sẽ áp dụng các nguyên tắc, quy định trong Luật Xử lý vi phạm hành chính. </w:t>
      </w:r>
    </w:p>
    <w:p w14:paraId="14479647"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(4) Về tính khả thi </w:t>
      </w:r>
    </w:p>
    <w:p w14:paraId="195CD68C"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Sau khi Luật được ban hành và có hiệu lực: Có thể thực thi được ngay do theo Nghị quyết số 105/2025/UBTVQH15 ngày 26/9/2025 của Ủy ban Thường vụ Quốc hội về Chương trình lập pháp năm 2026, trong đó, giao Chính phủ trình Quốc hội xem xét, thông qua tại Kỳ họp thứ 2, Quốc hội khóa XVI (dự kiến tháng 10/2026), cùng thời điểm bởi</w:t>
      </w:r>
      <w:r w:rsidRPr="00ED5E38">
        <w:rPr>
          <w:b/>
          <w:bCs/>
          <w:noProof/>
          <w:color w:val="000000" w:themeColor="text1"/>
          <w:sz w:val="26"/>
          <w:szCs w:val="26"/>
          <w:lang w:val="vi-VN"/>
        </w:rPr>
        <w:t xml:space="preserve"> </w:t>
      </w:r>
      <w:r w:rsidRPr="00ED5E38">
        <w:rPr>
          <w:noProof/>
          <w:color w:val="000000" w:themeColor="text1"/>
          <w:sz w:val="26"/>
          <w:szCs w:val="26"/>
          <w:lang w:val="vi-VN"/>
        </w:rPr>
        <w:t>Luật sửa đổi, bổ sung một số điều của Luật Thương mại, Luật Cạnh tranh, Luật Quản lý ngoại thương, Luật Bảo vệ quyền lợi người tiêu dùng được nêu tại Nghị quyết số 105/2025/UBTVQH15 và Nghị quyết số 119/2026/UBTVQH15 ngày 06/02/2026.</w:t>
      </w:r>
    </w:p>
    <w:p w14:paraId="199F678B" w14:textId="77777777" w:rsidR="000F0D45" w:rsidRPr="0034561D" w:rsidRDefault="000F0D45" w:rsidP="00893D79">
      <w:pPr>
        <w:tabs>
          <w:tab w:val="right" w:leader="dot" w:pos="7920"/>
        </w:tabs>
        <w:spacing w:before="120" w:after="120" w:line="340" w:lineRule="exact"/>
        <w:ind w:firstLine="709"/>
        <w:jc w:val="both"/>
        <w:rPr>
          <w:noProof/>
          <w:color w:val="000000" w:themeColor="text1"/>
          <w:spacing w:val="-2"/>
          <w:sz w:val="26"/>
          <w:szCs w:val="26"/>
          <w:lang w:val="vi-VN"/>
        </w:rPr>
      </w:pPr>
      <w:r w:rsidRPr="0034561D">
        <w:rPr>
          <w:noProof/>
          <w:color w:val="000000" w:themeColor="text1"/>
          <w:spacing w:val="-2"/>
          <w:sz w:val="26"/>
          <w:szCs w:val="26"/>
          <w:lang w:val="vi-VN"/>
        </w:rPr>
        <w:t>+ Đánh giá tác động đối với các điều ước quốc tế có liên quan mà nước Cộng hòa xã hội chủ nghĩa Việt Nam là thành viên: Các điều ước quốc tế mà Việt Nam là thành viên có chương cạnh tranh như Hiệp định CPTPP, EVFTA, UKVFTA, RCEP chủ yếu yêu cầu các quốc gia thành viên duy trì luật cạnh tranh và bảo đảm thực thi minh bạch, công bằng thủ tục. Do đó, Giải pháp 1 tương thích và không có nguy cơ dẫn đến xung đột với các điều ước quốc tế và không có khả năng phát sinh tranh chấp quốc tế, tranh chấp thương mại, đầu tư.</w:t>
      </w:r>
    </w:p>
    <w:p w14:paraId="1353F932"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ab/>
        <w:t xml:space="preserve">Như vậy, giải pháp sẽ góp phần nâng cao hiệu lực, hiệu quả thực thi pháp luật về cạnh tranh, đồng thời đảm bảo việc áp dụng thống nhất, đồng bộ quy trình tố tụng cạnh tranh và quy trình xử lý vi phạm hành chính trong lĩnh vực cạnh tranh. </w:t>
      </w:r>
    </w:p>
    <w:p w14:paraId="178BA166" w14:textId="77777777" w:rsidR="000F0D45" w:rsidRPr="00ED5E38" w:rsidRDefault="000F0D45" w:rsidP="00893D79">
      <w:pPr>
        <w:tabs>
          <w:tab w:val="right" w:leader="dot" w:pos="7920"/>
        </w:tabs>
        <w:spacing w:before="120" w:after="120" w:line="340" w:lineRule="exact"/>
        <w:ind w:firstLine="709"/>
        <w:jc w:val="both"/>
        <w:rPr>
          <w:b/>
          <w:i/>
          <w:noProof/>
          <w:color w:val="000000" w:themeColor="text1"/>
          <w:sz w:val="26"/>
          <w:szCs w:val="26"/>
          <w:lang w:val="vi-VN"/>
        </w:rPr>
      </w:pPr>
      <w:r w:rsidRPr="00ED5E38">
        <w:rPr>
          <w:b/>
          <w:i/>
          <w:noProof/>
          <w:color w:val="000000" w:themeColor="text1"/>
          <w:sz w:val="26"/>
          <w:szCs w:val="26"/>
          <w:lang w:val="vi-VN"/>
        </w:rPr>
        <w:t xml:space="preserve">- Tác động về kinh tế - xã hội: </w:t>
      </w:r>
    </w:p>
    <w:p w14:paraId="62BB7C4D"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Nhà nước:</w:t>
      </w:r>
    </w:p>
    <w:p w14:paraId="4D9C834B"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0865AE9D"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(i) Nâng cao hiệu lực, hiệu quả quản lý nhà nước về cạnh tranh. Việc quy định thời hiệu xử phạt 05 năm đối với các hành vi vi phạm hành chính nghiêm trọng, phức tạp trong lĩnh vực cạnh tranh tạo điều kiện pháp lý phù hợp với đặc thù phát hiện, thu thập chứng cứ và điều tra; qua đó tăng khả năng xử lý dứt điểm các hành vi có tính chất che giấu, kéo dài, gây tác động hạn chế cạnh tranh đáng kể.</w:t>
      </w:r>
    </w:p>
    <w:p w14:paraId="3FE872C2"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tính khả thi trong thi hành quyết định xử lý vụ việc cạnh tranh. Việc quy định đầy đủ nội dung quyết định xử lý vụ việc cạnh tranh theo hướng tương thích với yêu cầu thi hành quyết định xử phạt vi phạm hành chính góp phần khắc phục tình trạng thiếu thông tin về hiệu lực, thời hạn thi hành, địa điểm thi hành, nơi nộp tiền phạt và cơ chế cưỡng chế, qua đó rút ngắn thời gian tổ chức thi hành và giảm phát sinh sai sót về hình thức.</w:t>
      </w:r>
    </w:p>
    <w:p w14:paraId="53875F62"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(iii) Giảm chi phí hành chính do loại bỏ thủ tục trùng lặp. Việc quy định quyết định xử lý vụ việc cạnh tranh đã bao gồm nội dung xử phạt và thay cho quyết định xử phạt vi phạm hành chính, đồng thời bổ sung trường hợp không ra quyết định xử phạt khi đã có quyết định xử lý vụ việc cạnh tranh, góp phần tránh ban hành nhiều quyết định cho cùng một hành vi, giảm chi phí nhân lực, thời gian và giảm rủi ro phát sinh tranh chấp về hiệu lực thi hành.</w:t>
      </w:r>
    </w:p>
    <w:p w14:paraId="0B630374" w14:textId="77777777" w:rsidR="000F0D45" w:rsidRPr="00034921" w:rsidRDefault="000F0D45" w:rsidP="00893D79">
      <w:pPr>
        <w:tabs>
          <w:tab w:val="right" w:leader="dot" w:pos="7920"/>
        </w:tabs>
        <w:spacing w:before="120" w:after="120" w:line="340" w:lineRule="exact"/>
        <w:ind w:firstLine="709"/>
        <w:jc w:val="both"/>
        <w:rPr>
          <w:noProof/>
          <w:color w:val="000000" w:themeColor="text1"/>
          <w:spacing w:val="-2"/>
          <w:sz w:val="26"/>
          <w:szCs w:val="26"/>
          <w:lang w:val="vi-VN"/>
        </w:rPr>
      </w:pPr>
      <w:r w:rsidRPr="00034921">
        <w:rPr>
          <w:noProof/>
          <w:color w:val="000000" w:themeColor="text1"/>
          <w:spacing w:val="-2"/>
          <w:sz w:val="26"/>
          <w:szCs w:val="26"/>
          <w:lang w:val="vi-VN"/>
        </w:rPr>
        <w:t>Tiêu cực: Tăng chi phí về xây dựng văn bản quy phạm pháp luật. Tuy nhiên, hiện nay Luật Xử lý vi phạm hành chính đang trong quá trình được thay thế, do đó, chi phí này được tích hợp vào chi phí xây dựng Luật đã được dự kiến, không phát sinh mới do chính sách.</w:t>
      </w:r>
    </w:p>
    <w:p w14:paraId="70882C3D"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doanh nghiệp:</w:t>
      </w:r>
    </w:p>
    <w:p w14:paraId="33161BB8"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Tích cực: Giảm chi phí phát sinh do thủ tục quyết định trùng lặp. Cơ chế “một quyết định” làm giảm việc tiếp nhận và xử lý nhiều quyết định liên quan đến cùng một vụ việc, giảm chi phí hành chính, chi phí nhân sự và chi phí tư vấn trong giai đoạn thi hành.</w:t>
      </w:r>
    </w:p>
    <w:p w14:paraId="7232298C" w14:textId="77777777" w:rsidR="000F0D45" w:rsidRPr="00034921" w:rsidRDefault="000F0D45" w:rsidP="00893D79">
      <w:pPr>
        <w:tabs>
          <w:tab w:val="right" w:leader="dot" w:pos="7920"/>
        </w:tabs>
        <w:spacing w:before="120" w:after="120" w:line="340" w:lineRule="exact"/>
        <w:ind w:firstLine="709"/>
        <w:jc w:val="both"/>
        <w:rPr>
          <w:noProof/>
          <w:color w:val="000000" w:themeColor="text1"/>
          <w:spacing w:val="-2"/>
          <w:sz w:val="26"/>
          <w:szCs w:val="26"/>
          <w:lang w:val="vi-VN"/>
        </w:rPr>
      </w:pPr>
      <w:r w:rsidRPr="00034921">
        <w:rPr>
          <w:noProof/>
          <w:color w:val="000000" w:themeColor="text1"/>
          <w:spacing w:val="-2"/>
          <w:sz w:val="26"/>
          <w:szCs w:val="26"/>
          <w:lang w:val="vi-VN"/>
        </w:rPr>
        <w:t xml:space="preserve">Tiêu cực: Nội dung quy định thời hiệu 05 năm có khả năng dẫn tới tăng chi phí tuân thủ do kéo dài thời hiệu xử phạt. Thời hiệu 05 năm đối với nhóm hành vi cốt lõi làm tăng nhu cầu lưu trữ chứng từ, dữ liệu và hồ sơ nội bộ trong thời gian dài hơn; tăng chi phí xây dựng và duy trì chương trình tuân thủ cạnh tranh; tăng chi phí đào tạo, tư vấn pháp lý, kiểm soát rủi ro trong các hoạt động thương mại, phân phối, mua bán – sáp nhập có yếu tố cạnh tranh. </w:t>
      </w:r>
    </w:p>
    <w:p w14:paraId="0970D98C"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tổ chức, cá nhân:</w:t>
      </w:r>
    </w:p>
    <w:p w14:paraId="495682BC"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Tích cực: Giải pháp 1 có tác động gián tiếp theo hướng tích cực, do tăng hiệu lực xử lý hành vi hạn chế cạnh tranh và cạnh tranh không lành mạnh, góp phần thúc đẩy thị trường cạnh tranh, bảo đảm quyền lợi người tiêu dùng về giá cả, chất lượng và khả năng tiếp cận hàng hóa, dịch vụ.</w:t>
      </w:r>
    </w:p>
    <w:p w14:paraId="16E24CF4"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lastRenderedPageBreak/>
        <w:t>Tiêu cực: Nội dung quy định thời hiệu 05 năm có khả năng dẫn tới tăng chi phí tuân thủ do kéo dài thời hiệu xử phạt. Thời hiệu xử phạt kéo dài làm tăng yêu cầu tuân thủ, nghĩa vụ lưu trữ và trách nhiệm giải trình.</w:t>
      </w:r>
    </w:p>
    <w:p w14:paraId="02AEDA47"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034921">
        <w:rPr>
          <w:b/>
          <w:bCs/>
          <w:i/>
          <w:iCs/>
          <w:noProof/>
          <w:color w:val="000000" w:themeColor="text1"/>
          <w:sz w:val="26"/>
          <w:szCs w:val="26"/>
          <w:lang w:val="vi-VN"/>
        </w:rPr>
        <w:t>- Tác động về giới (nếu có):</w:t>
      </w:r>
      <w:r w:rsidRPr="00ED5E38">
        <w:rPr>
          <w:noProof/>
          <w:color w:val="000000" w:themeColor="text1"/>
          <w:sz w:val="26"/>
          <w:szCs w:val="26"/>
          <w:lang w:val="vi-VN"/>
        </w:rPr>
        <w:t xml:space="preserve"> Chính sách không tạo ra sự phân biệt đối xử về giới, không đặt ra quy định riêng đối với nam hoặc nữ, tác động của chính sách là trung tính về giới.</w:t>
      </w:r>
    </w:p>
    <w:p w14:paraId="08F87AA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034921">
        <w:rPr>
          <w:b/>
          <w:bCs/>
          <w:i/>
          <w:iCs/>
          <w:noProof/>
          <w:color w:val="000000" w:themeColor="text1"/>
          <w:sz w:val="26"/>
          <w:szCs w:val="26"/>
          <w:lang w:val="vi-VN"/>
        </w:rPr>
        <w:t>- Tác động của thủ tục hành chính (nếu có):</w:t>
      </w:r>
      <w:r w:rsidRPr="00ED5E38">
        <w:rPr>
          <w:noProof/>
          <w:color w:val="000000" w:themeColor="text1"/>
          <w:sz w:val="26"/>
          <w:szCs w:val="26"/>
          <w:lang w:val="vi-VN"/>
        </w:rPr>
        <w:t xml:space="preserve"> Chính sách không tạo ra thủ tục hành chính mới.</w:t>
      </w:r>
    </w:p>
    <w:p w14:paraId="3F8666F6" w14:textId="77777777" w:rsidR="000F0D45" w:rsidRPr="00ED5E38" w:rsidRDefault="000F0D45" w:rsidP="00893D79">
      <w:pPr>
        <w:pStyle w:val="Heading3"/>
        <w:ind w:firstLine="709"/>
        <w:rPr>
          <w:iCs/>
          <w:noProof/>
          <w:lang w:val="vi-VN"/>
        </w:rPr>
      </w:pPr>
      <w:r w:rsidRPr="00ED5E38">
        <w:rPr>
          <w:noProof/>
          <w:lang w:val="vi-VN"/>
        </w:rPr>
        <w:t>b) Giải pháp 2: Hoàn thiện cơ chế xử phạt vi phạm hành chính ngay trong Luật Cạnh tranh theo hướng phân định rõ phạm vi áp dụng, thời hiệu và giá trị pháp lý của quyết định xử lý vụ việc cạnh tranh</w:t>
      </w:r>
    </w:p>
    <w:p w14:paraId="2228B35E" w14:textId="77777777" w:rsidR="000F0D45" w:rsidRPr="00ED5E38" w:rsidRDefault="000F0D45" w:rsidP="00893D79">
      <w:pPr>
        <w:spacing w:before="120" w:after="120" w:line="340" w:lineRule="exact"/>
        <w:ind w:firstLine="709"/>
        <w:jc w:val="both"/>
        <w:rPr>
          <w:bCs/>
          <w:i/>
          <w:noProof/>
          <w:color w:val="000000" w:themeColor="text1"/>
          <w:sz w:val="26"/>
          <w:szCs w:val="26"/>
          <w:lang w:val="vi-VN"/>
        </w:rPr>
      </w:pPr>
      <w:r w:rsidRPr="00ED5E38">
        <w:rPr>
          <w:bCs/>
          <w:i/>
          <w:noProof/>
          <w:color w:val="000000" w:themeColor="text1"/>
          <w:sz w:val="26"/>
          <w:szCs w:val="26"/>
          <w:lang w:val="vi-VN"/>
        </w:rPr>
        <w:t>Dự kiến quy định trong Luật như sau:</w:t>
      </w:r>
    </w:p>
    <w:p w14:paraId="5054EBC6"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Bổ sung khoản 1a vào sau khoản 1 Điều 94 Luật Cạnh tranh như sau: </w:t>
      </w:r>
    </w:p>
    <w:p w14:paraId="64E5EF42"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i/>
          <w:iCs/>
          <w:noProof/>
          <w:color w:val="000000" w:themeColor="text1"/>
          <w:sz w:val="26"/>
          <w:szCs w:val="26"/>
          <w:lang w:val="vi-VN"/>
        </w:rPr>
        <w:t>“1a. Quyết định xử lý vụ việc cạnh tranh đã bao gồm nội dung xử phạt vi phạm hành chính về cạnh tranh và thay cho quyết định xử phạt vi phạm hành chính về cạnh tranh”.</w:t>
      </w:r>
    </w:p>
    <w:p w14:paraId="64189921"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 Bổ sung khoản 1a, 1b, 1c sau khoản 1 Điều 110 Luật Cạnh tranh như sau:</w:t>
      </w:r>
    </w:p>
    <w:p w14:paraId="1EB7853F"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“1a. Việc xử phạt vi phạm hành chính về cạnh tranh được thực hiện theo quy định của pháp luật về cạnh tranh và pháp luật về xử lý vi phạm hành chính.</w:t>
      </w:r>
    </w:p>
    <w:p w14:paraId="017F77D7"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 xml:space="preserve">1b. Quy trình xử phạt vi phạm hành chính đối với các hành vi vi phạm hành chính về thỏa thuận hạn chế cạnh tranh, lạm dụng vị trí thống lĩnh thị trường, lạm dụng vị trí độc quyền, quy định về tập trung kinh tế, cạnh tranh không lành mạnh thực hiện theo quy trình tố tụng cạnh tranh quy định tại Chương VIII của Luật này. </w:t>
      </w:r>
    </w:p>
    <w:p w14:paraId="12251E31"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1c. Vi phạm hành chính về cạnh tranh khác thực hiện quy trình, thủ tục xử phạt vi phạm hành chính theo quy định của Luật Xử lý vi phạm hành chính.”.</w:t>
      </w:r>
    </w:p>
    <w:p w14:paraId="3504024A"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 Bổ sung Điều 110a sau Điều 110 Luật Cạnh tranh như sau:</w:t>
      </w:r>
    </w:p>
    <w:p w14:paraId="75D8909B"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“Điều 110a. Thời hiệu xử phạt vi phạm hành chính về cạnh tranh</w:t>
      </w:r>
    </w:p>
    <w:p w14:paraId="103089F4"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 </w:t>
      </w:r>
      <w:r w:rsidRPr="00ED5E38">
        <w:rPr>
          <w:noProof/>
          <w:color w:val="000000" w:themeColor="text1"/>
          <w:sz w:val="26"/>
          <w:szCs w:val="26"/>
          <w:lang w:val="vi-VN"/>
        </w:rPr>
        <w:t>Bổ sung quy định về thời hiệu xử phạt vi hành chính về cạnh tranh như sau:</w:t>
      </w:r>
    </w:p>
    <w:p w14:paraId="31290645"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“1. Thời hiệu xử phạt đối với vi phạm hành chính về thỏa thuận hạn chế cạnh tranh, lạm dụng vị trí thống lĩnh thị trường, lạm dụng vị trí độc quyền, vi phạm quy định về</w:t>
      </w:r>
      <w:r w:rsidRPr="00ED5E38">
        <w:rPr>
          <w:i/>
          <w:iCs/>
          <w:noProof/>
          <w:color w:val="000000" w:themeColor="text1"/>
          <w:sz w:val="26"/>
          <w:szCs w:val="26"/>
          <w:shd w:val="clear" w:color="auto" w:fill="FFFFFF"/>
          <w:lang w:val="vi-VN"/>
        </w:rPr>
        <w:t xml:space="preserve"> </w:t>
      </w:r>
      <w:r w:rsidRPr="00ED5E38">
        <w:rPr>
          <w:i/>
          <w:iCs/>
          <w:noProof/>
          <w:color w:val="000000" w:themeColor="text1"/>
          <w:sz w:val="26"/>
          <w:szCs w:val="26"/>
          <w:lang w:val="vi-VN"/>
        </w:rPr>
        <w:t>tập trung kinh tế; cạnh tranh không lành mạnh là 05 năm.</w:t>
      </w:r>
    </w:p>
    <w:p w14:paraId="0DE25A7D"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 xml:space="preserve">2. Thời hiệu xử phạt đối với vi phạm hành chính về cạnh tranh khác là 01 năm. </w:t>
      </w:r>
    </w:p>
    <w:p w14:paraId="3FB62395"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3. Thời điểm để tính thời hiệu xử phạt vi phạm hành chính quy định tại khoản 1, khoản 2 Điều này được quy định như sau:</w:t>
      </w:r>
    </w:p>
    <w:p w14:paraId="497FF17B"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t>Đối với vi phạm hành chính đã kết thúc thì thời hiệu được tính từ thời điểm chấm dứt hành vi vi phạm.</w:t>
      </w:r>
    </w:p>
    <w:p w14:paraId="4C5FDA2B"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i/>
          <w:iCs/>
          <w:noProof/>
          <w:color w:val="000000" w:themeColor="text1"/>
          <w:sz w:val="26"/>
          <w:szCs w:val="26"/>
          <w:lang w:val="vi-VN"/>
        </w:rPr>
        <w:lastRenderedPageBreak/>
        <w:t>Đối với vi phạm hành chính đang được thực hiện thì thời hiệu được tính từ thời điểm cơ quan có thẩm quyền ra quyết định điều tra vụ việc cạnh tranh;</w:t>
      </w:r>
    </w:p>
    <w:p w14:paraId="14417F56"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4. Quá thời hiệu xử phạt vi phạm hành chính đối với vi phạm hành chính về thỏa thuận hạn chế cạnh tranh, lạm dụng vị trí thống lĩnh thị trường, lạm dụng vị trí độc quyền, vi phạm quy định về tập trung kinh tế, cạnh tranh không lành mạnh thì cơ quan hoặc người có thẩm quyền không ra quyết định xử lý vụ việc cạnh tranh nhưng vẫn ra quyết định tịch thu tang vật, phương tiện được sử dụng để vi phạm pháp luật về cạnh tranh nếu tang vật, phương tiện mà pháp luật có quy định hình thức xử phạt tịch thu, quyết định tịch thu khoản lợi nhuận thu được từ việc thực hiện hành vi vi phạm nếu pháp luật có quy định hình thức xử phạt tịch thu khoản lợi nhuận thu được từ việc thực hiện hành vi vi phạm và áp dụng biện pháp khắc phục hậu quả được quy định đối với hành vi vi phạm hành chính đó.”</w:t>
      </w:r>
    </w:p>
    <w:p w14:paraId="2FBEC64F" w14:textId="77777777" w:rsidR="000F0D45" w:rsidRPr="00ED5E38" w:rsidRDefault="000F0D45" w:rsidP="00893D79">
      <w:pPr>
        <w:spacing w:before="120" w:after="120" w:line="340" w:lineRule="exact"/>
        <w:ind w:firstLine="709"/>
        <w:jc w:val="both"/>
        <w:rPr>
          <w:i/>
          <w:noProof/>
          <w:color w:val="000000" w:themeColor="text1"/>
          <w:sz w:val="26"/>
          <w:szCs w:val="26"/>
          <w:lang w:val="vi-VN"/>
        </w:rPr>
      </w:pPr>
      <w:r w:rsidRPr="00ED5E38">
        <w:rPr>
          <w:i/>
          <w:noProof/>
          <w:color w:val="000000" w:themeColor="text1"/>
          <w:sz w:val="26"/>
          <w:szCs w:val="26"/>
          <w:lang w:val="vi-VN"/>
        </w:rPr>
        <w:t xml:space="preserve">Ngoài ra, giao Chính phủ quy định chi tiết, hướng dẫn nhằm hoàn thiện các nguyên tắc, nội dung trong xử lý vi phạm hành chính về cạnh tranh để đảm bảo linh hoạt, phù hợp với thực tiễn. </w:t>
      </w:r>
    </w:p>
    <w:p w14:paraId="44CA83CA" w14:textId="27E03531" w:rsidR="000F0D45" w:rsidRPr="00034921" w:rsidRDefault="000F0D45" w:rsidP="00893D79">
      <w:pPr>
        <w:spacing w:before="120" w:after="120" w:line="340" w:lineRule="exact"/>
        <w:ind w:firstLine="709"/>
        <w:rPr>
          <w:b/>
          <w:bCs/>
          <w:i/>
          <w:iCs/>
          <w:noProof/>
          <w:color w:val="000000" w:themeColor="text1"/>
          <w:sz w:val="26"/>
          <w:szCs w:val="26"/>
          <w:lang w:val="vi-VN"/>
        </w:rPr>
      </w:pPr>
      <w:r w:rsidRPr="00034921">
        <w:rPr>
          <w:b/>
          <w:bCs/>
          <w:i/>
          <w:iCs/>
          <w:noProof/>
          <w:color w:val="000000" w:themeColor="text1"/>
          <w:sz w:val="26"/>
          <w:szCs w:val="26"/>
          <w:lang w:val="vi-VN"/>
        </w:rPr>
        <w:t>- Tác động đối với hệ thống pháp luật</w:t>
      </w:r>
      <w:r w:rsidR="00034921" w:rsidRPr="00034921">
        <w:rPr>
          <w:b/>
          <w:bCs/>
          <w:i/>
          <w:iCs/>
          <w:noProof/>
          <w:color w:val="000000" w:themeColor="text1"/>
          <w:sz w:val="26"/>
          <w:szCs w:val="26"/>
          <w:lang w:val="vi-VN"/>
        </w:rPr>
        <w:t>:</w:t>
      </w:r>
    </w:p>
    <w:p w14:paraId="282EB3FA" w14:textId="77777777" w:rsidR="000F0D45" w:rsidRPr="00034921" w:rsidRDefault="000F0D45" w:rsidP="00893D79">
      <w:pPr>
        <w:spacing w:before="120" w:after="120" w:line="340" w:lineRule="exact"/>
        <w:ind w:firstLine="709"/>
        <w:rPr>
          <w:noProof/>
          <w:color w:val="000000" w:themeColor="text1"/>
          <w:sz w:val="26"/>
          <w:szCs w:val="26"/>
          <w:lang w:val="vi-VN"/>
        </w:rPr>
      </w:pPr>
      <w:r w:rsidRPr="00034921">
        <w:rPr>
          <w:noProof/>
          <w:color w:val="000000" w:themeColor="text1"/>
          <w:sz w:val="26"/>
          <w:szCs w:val="26"/>
          <w:lang w:val="vi-VN"/>
        </w:rPr>
        <w:t>Về tính hợp hiến:</w:t>
      </w:r>
    </w:p>
    <w:p w14:paraId="22BB3E43" w14:textId="77777777" w:rsidR="000F0D45" w:rsidRPr="00ED5E38" w:rsidRDefault="000F0D45" w:rsidP="00893D79">
      <w:pPr>
        <w:spacing w:before="120" w:after="120" w:line="340" w:lineRule="exact"/>
        <w:ind w:firstLine="709"/>
        <w:jc w:val="both"/>
        <w:rPr>
          <w:bCs/>
          <w:noProof/>
          <w:color w:val="000000" w:themeColor="text1"/>
          <w:sz w:val="26"/>
          <w:szCs w:val="26"/>
          <w:lang w:val="vi-VN"/>
        </w:rPr>
      </w:pPr>
      <w:r w:rsidRPr="00ED5E38">
        <w:rPr>
          <w:noProof/>
          <w:color w:val="000000" w:themeColor="text1"/>
          <w:sz w:val="26"/>
          <w:szCs w:val="26"/>
          <w:lang w:val="vi-VN"/>
        </w:rPr>
        <w:t xml:space="preserve">Hiến pháp năm 2013 quy định: </w:t>
      </w:r>
      <w:r w:rsidRPr="00ED5E38">
        <w:rPr>
          <w:i/>
          <w:iCs/>
          <w:noProof/>
          <w:color w:val="000000" w:themeColor="text1"/>
          <w:sz w:val="26"/>
          <w:szCs w:val="26"/>
          <w:lang w:val="vi-VN"/>
        </w:rPr>
        <w:t xml:space="preserve">“Các thành phần kinh tế đều là bộ phận cấu thành quan trọng của nền kinh tế quốc dân. Các chủ thể thuộc các thành phần kinh tế bình đẳng, hợp tác và cạnh tranh theo pháp luật”. </w:t>
      </w:r>
      <w:r w:rsidRPr="00ED5E38">
        <w:rPr>
          <w:noProof/>
          <w:color w:val="000000" w:themeColor="text1"/>
          <w:sz w:val="26"/>
          <w:szCs w:val="26"/>
          <w:lang w:val="vi-VN"/>
        </w:rPr>
        <w:t xml:space="preserve">Bên cạnh đó, </w:t>
      </w:r>
      <w:r w:rsidRPr="00ED5E38">
        <w:rPr>
          <w:bCs/>
          <w:noProof/>
          <w:color w:val="000000" w:themeColor="text1"/>
          <w:sz w:val="26"/>
          <w:szCs w:val="26"/>
          <w:lang w:val="vi-VN"/>
        </w:rPr>
        <w:t xml:space="preserve">Hiến pháp quy định quyền con người, quyền công dân chỉ có thể bị hạn chế theo quy định của luật trong trường hợp cần thiết vì lý do quốc phòng, an ninh quốc gia, trật tự, an toàn xã hội, đạo đức xã hội, sức khỏe của cộng đồng. Do đó, </w:t>
      </w:r>
      <w:r w:rsidRPr="00ED5E38">
        <w:rPr>
          <w:noProof/>
          <w:color w:val="000000" w:themeColor="text1"/>
          <w:sz w:val="26"/>
          <w:szCs w:val="26"/>
          <w:lang w:val="vi-VN"/>
        </w:rPr>
        <w:t>hoàn thiện cơ chế xử phạt vi phạm hành chính ngay trong Luật Cạnh tranh theo hướng phân định rõ phạm vi áp dụng, thời hiệu và giá trị pháp lý của quyết định xử lý vụ việc cạnh tranh</w:t>
      </w:r>
      <w:r w:rsidRPr="00ED5E38">
        <w:rPr>
          <w:bCs/>
          <w:noProof/>
          <w:color w:val="000000" w:themeColor="text1"/>
          <w:sz w:val="26"/>
          <w:szCs w:val="26"/>
          <w:lang w:val="vi-VN"/>
        </w:rPr>
        <w:t xml:space="preserve"> là phù hợp với quy định của Hiến pháp</w:t>
      </w:r>
      <w:r w:rsidRPr="00ED5E38">
        <w:rPr>
          <w:noProof/>
          <w:color w:val="000000" w:themeColor="text1"/>
          <w:sz w:val="26"/>
          <w:szCs w:val="26"/>
          <w:lang w:val="vi-VN"/>
        </w:rPr>
        <w:t>.</w:t>
      </w:r>
    </w:p>
    <w:p w14:paraId="04504BE9" w14:textId="77777777" w:rsidR="000F0D45" w:rsidRPr="00034921" w:rsidRDefault="000F0D45" w:rsidP="00893D79">
      <w:pPr>
        <w:tabs>
          <w:tab w:val="right" w:leader="dot" w:pos="7920"/>
        </w:tabs>
        <w:spacing w:before="120" w:after="120" w:line="340" w:lineRule="exact"/>
        <w:ind w:firstLine="709"/>
        <w:jc w:val="both"/>
        <w:rPr>
          <w:bCs/>
          <w:noProof/>
          <w:color w:val="000000" w:themeColor="text1"/>
          <w:sz w:val="26"/>
          <w:szCs w:val="26"/>
          <w:lang w:val="vi-VN"/>
        </w:rPr>
      </w:pPr>
      <w:r w:rsidRPr="00034921">
        <w:rPr>
          <w:bCs/>
          <w:noProof/>
          <w:color w:val="000000" w:themeColor="text1"/>
          <w:sz w:val="26"/>
          <w:szCs w:val="26"/>
          <w:lang w:val="vi-VN"/>
        </w:rPr>
        <w:t xml:space="preserve">Về tính hợp pháp, tính thống nhất của chính sách với hệ thống pháp luật: </w:t>
      </w:r>
    </w:p>
    <w:p w14:paraId="177CECA2"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(1) Về quy định hiện hành điều chính vấn đề chính sách hướng tới</w:t>
      </w:r>
    </w:p>
    <w:p w14:paraId="2E8EC52A" w14:textId="77777777" w:rsidR="000F0D45" w:rsidRPr="00ED5E38" w:rsidRDefault="000F0D45" w:rsidP="00893D79">
      <w:pPr>
        <w:spacing w:before="120" w:after="120" w:line="340" w:lineRule="exact"/>
        <w:ind w:firstLine="709"/>
        <w:jc w:val="both"/>
        <w:rPr>
          <w:bCs/>
          <w:iCs/>
          <w:noProof/>
          <w:color w:val="000000" w:themeColor="text1"/>
          <w:sz w:val="26"/>
          <w:szCs w:val="26"/>
          <w:lang w:val="vi-VN"/>
        </w:rPr>
      </w:pPr>
      <w:r w:rsidRPr="00ED5E38">
        <w:rPr>
          <w:bCs/>
          <w:iCs/>
          <w:noProof/>
          <w:color w:val="000000" w:themeColor="text1"/>
          <w:sz w:val="26"/>
          <w:szCs w:val="26"/>
          <w:lang w:val="vi-VN"/>
        </w:rPr>
        <w:t xml:space="preserve">Khoản 1 Điều 110 Luật Cạnh tranh quy định về nguyên tắc xử lý vi phạm, hình thức xử lý vi phạm và biện pháp khắc phục hậu quả vi phạm pháp luật về cạnh tranh quy định: </w:t>
      </w:r>
      <w:r w:rsidRPr="00ED5E38">
        <w:rPr>
          <w:bCs/>
          <w:i/>
          <w:noProof/>
          <w:color w:val="000000" w:themeColor="text1"/>
          <w:sz w:val="26"/>
          <w:szCs w:val="26"/>
          <w:lang w:val="vi-VN"/>
        </w:rPr>
        <w:t>“1. Tổ chức, cá nhân có hành vi vi phạm pháp luật về cạnh tranh thì tuỳ theo tính chất, mức độ vi phạm mà bị xử lý kỷ luật,</w:t>
      </w:r>
      <w:r w:rsidRPr="00ED5E38">
        <w:rPr>
          <w:b/>
          <w:i/>
          <w:noProof/>
          <w:color w:val="000000" w:themeColor="text1"/>
          <w:sz w:val="26"/>
          <w:szCs w:val="26"/>
          <w:lang w:val="vi-VN"/>
        </w:rPr>
        <w:t xml:space="preserve"> xử phạt vi phạm hành chính</w:t>
      </w:r>
      <w:r w:rsidRPr="00ED5E38">
        <w:rPr>
          <w:bCs/>
          <w:i/>
          <w:noProof/>
          <w:color w:val="000000" w:themeColor="text1"/>
          <w:sz w:val="26"/>
          <w:szCs w:val="26"/>
          <w:lang w:val="vi-VN"/>
        </w:rPr>
        <w:t xml:space="preserve"> hoặc bị truy cứu trách nhiệm hình sự; nếu gây thiệt hại đến lợi ích của Nhà nước, quyền và lợi ích hợp pháp của tổ chức, cá nhân thì phải bồi thường thiệt hại theo quy định của pháp luật”</w:t>
      </w:r>
      <w:r w:rsidRPr="00ED5E38">
        <w:rPr>
          <w:bCs/>
          <w:iCs/>
          <w:noProof/>
          <w:color w:val="000000" w:themeColor="text1"/>
          <w:sz w:val="26"/>
          <w:szCs w:val="26"/>
          <w:lang w:val="vi-VN"/>
        </w:rPr>
        <w:t>.</w:t>
      </w:r>
    </w:p>
    <w:p w14:paraId="362EAC95" w14:textId="77777777" w:rsidR="000F0D45" w:rsidRPr="00ED5E38" w:rsidRDefault="000F0D45" w:rsidP="00893D79">
      <w:pPr>
        <w:spacing w:before="120" w:after="120" w:line="340" w:lineRule="exact"/>
        <w:ind w:firstLine="709"/>
        <w:jc w:val="both"/>
        <w:rPr>
          <w:bCs/>
          <w:iCs/>
          <w:noProof/>
          <w:color w:val="000000" w:themeColor="text1"/>
          <w:sz w:val="26"/>
          <w:szCs w:val="26"/>
          <w:lang w:val="vi-VN"/>
        </w:rPr>
      </w:pPr>
      <w:r w:rsidRPr="00ED5E38">
        <w:rPr>
          <w:bCs/>
          <w:iCs/>
          <w:noProof/>
          <w:color w:val="000000" w:themeColor="text1"/>
          <w:sz w:val="26"/>
          <w:szCs w:val="26"/>
          <w:lang w:val="vi-VN"/>
        </w:rPr>
        <w:t xml:space="preserve">Đồng thời, Luật Xử lý vi phạm hành chính hiện nay chỉ quy định áp dụng pháp luật cạnh tranh đối với mức phạt tiền tối đa và thẩm quyền xử phạt đối với hành vi thỏa thuận hạn chế cạnh tranh, lạm dụng vị trí thống lĩnh thị trường, lạm dụng vị trí độc quyền, tập trung kinh tế, cạnh tranh không lành mạnh (tại khoản 3 Điều 24 và điểm l khoản 1 Điều 37a Luật Xử lý vi phạm hành chính) mà không loại trừ việc áp dụng quy </w:t>
      </w:r>
      <w:r w:rsidRPr="00ED5E38">
        <w:rPr>
          <w:bCs/>
          <w:iCs/>
          <w:noProof/>
          <w:color w:val="000000" w:themeColor="text1"/>
          <w:sz w:val="26"/>
          <w:szCs w:val="26"/>
          <w:lang w:val="vi-VN"/>
        </w:rPr>
        <w:lastRenderedPageBreak/>
        <w:t xml:space="preserve">định liên quan đến quy trình, thủ tục xử lý vụ việc cạnh tranh theo quy định của Luật Cạnh tranh. </w:t>
      </w:r>
    </w:p>
    <w:p w14:paraId="379F9F2E"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Do đó, Luật Cạnh tranh và Luật Xử lý vi phạm hành chính hiện nay chưa làm rõ quan hệ giữa quy trình tố tụng cạnh tranh và thủ tục xử phạt vi phạm hành chính theo Luật Xử lý vi phạm hành chính, giá trị pháp lý của quyết định xử lý vụ việc cạnh tranh khi áp dụng xử lý đối với các hành vi phạm hành chính </w:t>
      </w:r>
      <w:r w:rsidRPr="00ED5E38">
        <w:rPr>
          <w:iCs/>
          <w:noProof/>
          <w:color w:val="000000" w:themeColor="text1"/>
          <w:sz w:val="26"/>
          <w:szCs w:val="26"/>
          <w:lang w:val="vi-VN"/>
        </w:rPr>
        <w:t>về thỏa thuận hạn chế cạnh tranh, lạm dụng vị trí thống lĩnh thị trường, lạm dụng vị trí độc quyền, vi phạm quy định về</w:t>
      </w:r>
      <w:r w:rsidRPr="00ED5E38">
        <w:rPr>
          <w:iCs/>
          <w:noProof/>
          <w:color w:val="000000" w:themeColor="text1"/>
          <w:sz w:val="26"/>
          <w:szCs w:val="26"/>
          <w:shd w:val="clear" w:color="auto" w:fill="FFFFFF"/>
          <w:lang w:val="vi-VN"/>
        </w:rPr>
        <w:t xml:space="preserve"> </w:t>
      </w:r>
      <w:r w:rsidRPr="00ED5E38">
        <w:rPr>
          <w:iCs/>
          <w:noProof/>
          <w:color w:val="000000" w:themeColor="text1"/>
          <w:sz w:val="26"/>
          <w:szCs w:val="26"/>
          <w:lang w:val="vi-VN"/>
        </w:rPr>
        <w:t>tập trung kinh tế, cạnh tranh không lành mạnh</w:t>
      </w:r>
      <w:r w:rsidRPr="00ED5E38">
        <w:rPr>
          <w:noProof/>
          <w:color w:val="000000" w:themeColor="text1"/>
          <w:sz w:val="26"/>
          <w:szCs w:val="26"/>
          <w:lang w:val="vi-VN"/>
        </w:rPr>
        <w:t>.</w:t>
      </w:r>
    </w:p>
    <w:p w14:paraId="01AA7365"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(2) Về sự trùng lặp, mâu thuẫn với quy định của pháp luật hoặc khả năng tạo ra xung đột với quy phạm pháp luật chuyên ngành hay quy phạm pháp luật chung trong các Bộ luật, luật</w:t>
      </w:r>
    </w:p>
    <w:p w14:paraId="03198857"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Hiện nay, chính sách đang hướng tới việc tách bạch giữa quy trình tố tụng cạnh tranh theo Luật Cạnh tranh và quy định xử phạt vi phạm hành chính theo Luật Xử lý vi phạm hành chính. Theo đó: </w:t>
      </w:r>
    </w:p>
    <w:p w14:paraId="05903040" w14:textId="77777777" w:rsidR="000F0D45" w:rsidRPr="00ED5E38" w:rsidRDefault="000F0D45" w:rsidP="00893D79">
      <w:pPr>
        <w:tabs>
          <w:tab w:val="right" w:leader="dot" w:pos="7920"/>
        </w:tabs>
        <w:spacing w:before="120" w:after="120" w:line="340" w:lineRule="exact"/>
        <w:ind w:firstLine="709"/>
        <w:jc w:val="both"/>
        <w:rPr>
          <w:iCs/>
          <w:noProof/>
          <w:color w:val="000000" w:themeColor="text1"/>
          <w:sz w:val="26"/>
          <w:szCs w:val="26"/>
          <w:lang w:val="vi-VN"/>
        </w:rPr>
      </w:pPr>
      <w:r w:rsidRPr="00ED5E38">
        <w:rPr>
          <w:noProof/>
          <w:color w:val="000000" w:themeColor="text1"/>
          <w:sz w:val="26"/>
          <w:szCs w:val="26"/>
          <w:lang w:val="vi-VN"/>
        </w:rPr>
        <w:t xml:space="preserve">(i) Việc xử lý vi phạm hành chính đối với các hành vi phạm hành chính </w:t>
      </w:r>
      <w:r w:rsidRPr="00ED5E38">
        <w:rPr>
          <w:iCs/>
          <w:noProof/>
          <w:color w:val="000000" w:themeColor="text1"/>
          <w:sz w:val="26"/>
          <w:szCs w:val="26"/>
          <w:lang w:val="vi-VN"/>
        </w:rPr>
        <w:t>về thỏa thuận hạn chế cạnh tranh, lạm dụng vị trí thống lĩnh thị trường, lạm dụng vị trí độc quyền, vi phạm quy định về</w:t>
      </w:r>
      <w:r w:rsidRPr="00ED5E38">
        <w:rPr>
          <w:iCs/>
          <w:noProof/>
          <w:color w:val="000000" w:themeColor="text1"/>
          <w:sz w:val="26"/>
          <w:szCs w:val="26"/>
          <w:shd w:val="clear" w:color="auto" w:fill="FFFFFF"/>
          <w:lang w:val="vi-VN"/>
        </w:rPr>
        <w:t xml:space="preserve"> </w:t>
      </w:r>
      <w:r w:rsidRPr="00ED5E38">
        <w:rPr>
          <w:iCs/>
          <w:noProof/>
          <w:color w:val="000000" w:themeColor="text1"/>
          <w:sz w:val="26"/>
          <w:szCs w:val="26"/>
          <w:lang w:val="vi-VN"/>
        </w:rPr>
        <w:t xml:space="preserve">tập trung kinh tế, cạnh tranh không lành mạnh </w:t>
      </w:r>
      <w:r w:rsidRPr="00ED5E38">
        <w:rPr>
          <w:i/>
          <w:noProof/>
          <w:color w:val="000000" w:themeColor="text1"/>
          <w:sz w:val="26"/>
          <w:szCs w:val="26"/>
          <w:lang w:val="vi-VN"/>
        </w:rPr>
        <w:t xml:space="preserve">(sau đây gọi chung là </w:t>
      </w:r>
      <w:r w:rsidRPr="00ED5E38">
        <w:rPr>
          <w:b/>
          <w:bCs/>
          <w:i/>
          <w:noProof/>
          <w:color w:val="000000" w:themeColor="text1"/>
          <w:sz w:val="26"/>
          <w:szCs w:val="26"/>
          <w:lang w:val="vi-VN"/>
        </w:rPr>
        <w:t>“hành vi vi phạm hành chính về cạnh tranh”</w:t>
      </w:r>
      <w:r w:rsidRPr="00ED5E38">
        <w:rPr>
          <w:i/>
          <w:noProof/>
          <w:color w:val="000000" w:themeColor="text1"/>
          <w:sz w:val="26"/>
          <w:szCs w:val="26"/>
          <w:lang w:val="vi-VN"/>
        </w:rPr>
        <w:t>)</w:t>
      </w:r>
      <w:r w:rsidRPr="00ED5E38">
        <w:rPr>
          <w:iCs/>
          <w:noProof/>
          <w:color w:val="000000" w:themeColor="text1"/>
          <w:sz w:val="26"/>
          <w:szCs w:val="26"/>
          <w:lang w:val="vi-VN"/>
        </w:rPr>
        <w:t xml:space="preserve"> được áp dụng theo quy trình tố tụng cạnh tranh quy định tại Luật Cạnh tranh; </w:t>
      </w:r>
    </w:p>
    <w:p w14:paraId="0797CC0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iCs/>
          <w:noProof/>
          <w:color w:val="000000" w:themeColor="text1"/>
          <w:sz w:val="26"/>
          <w:szCs w:val="26"/>
          <w:lang w:val="vi-VN"/>
        </w:rPr>
        <w:t xml:space="preserve">(ii) Việc </w:t>
      </w:r>
      <w:r w:rsidRPr="00ED5E38">
        <w:rPr>
          <w:noProof/>
          <w:color w:val="000000" w:themeColor="text1"/>
          <w:sz w:val="26"/>
          <w:szCs w:val="26"/>
          <w:lang w:val="vi-VN"/>
        </w:rPr>
        <w:t>xử lý vi phạm hành chính đối với các hành vi vi phạm hành chính về cạnh tranh khác (các hành vi liên quan đến nghĩa vụ cung cấp thông tin, tài liệu; liên quan đến quá trình điều tra và xử lý vụ việc cạnh tranh như gây rối phiên điều trần, tiết lộ thông tin, tài liệu thuộc bí mật điều tra; hành vi thỏa thuận hạn chế cạnh tranh trước khi có quyết định cho hưởng miễn trừ của cơ quan có thẩm quyền; hành vi cung cấp thông tin, vận động, kêu gọi, ép buộc hoặc tổ chức để doanh nghiệp thực hiện hành vi hạn chế cạnh tranh, cạnh tranh không lành mạnh) áp dụng thủ tục xử phạt vi phạm hành chính theo Luật Xử lý vi phạm hành chính.</w:t>
      </w:r>
    </w:p>
    <w:p w14:paraId="657B1760" w14:textId="6CF34AF0"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 Giải pháp 2 có khả năng dẫn tới sự mâu thuẫn với quy định về thời hiệu trong pháp luật về xử lý vi phạm hành chính. </w:t>
      </w:r>
      <w:r w:rsidR="001609E1" w:rsidRPr="00ED5E38">
        <w:rPr>
          <w:noProof/>
          <w:color w:val="000000" w:themeColor="text1"/>
          <w:sz w:val="26"/>
          <w:szCs w:val="26"/>
          <w:lang w:val="vi-VN"/>
        </w:rPr>
        <w:t xml:space="preserve">Tuy nhiên, </w:t>
      </w:r>
      <w:r w:rsidR="001609E1" w:rsidRPr="00ED5E38">
        <w:rPr>
          <w:noProof/>
          <w:sz w:val="26"/>
          <w:szCs w:val="26"/>
          <w:lang w:val="vi-VN"/>
        </w:rPr>
        <w:t>hành vi vi phạm trong lĩnh vực cạnh tranh thường có tính chất phức tạp, tinh vi, khó phát hiện kịp thời và có thể kéo dài trong thời gian dài, nên cần có cơ chế thời hiệu phù hợp để bảo đảm xử lý hiệu quả, tránh nguy cơ phát sinh tranh chấp, khiếu kiện do xung đột trong áp dụng pháp luật, qua đó nâng cao tính minh bạch, thống nhất và hiệu quả của hệ thống pháp luật.</w:t>
      </w:r>
    </w:p>
    <w:p w14:paraId="4A967F5C" w14:textId="1ABD76B9" w:rsidR="0078686C" w:rsidRPr="00ED5E38" w:rsidRDefault="0078686C"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Giải pháp 2 có khả năng dẫn tới sự mâu thuẫn với quy định về quyết định xử lý vụ việc cạnh tranh thay cho quyết định xử phạt vi phạm hành chính trong pháp luật về xử lý vi phạm hành chính</w:t>
      </w:r>
      <w:r w:rsidR="001609E1" w:rsidRPr="00ED5E38">
        <w:rPr>
          <w:noProof/>
          <w:color w:val="000000" w:themeColor="text1"/>
          <w:sz w:val="26"/>
          <w:szCs w:val="26"/>
          <w:lang w:val="vi-VN"/>
        </w:rPr>
        <w:t xml:space="preserve">. </w:t>
      </w:r>
    </w:p>
    <w:p w14:paraId="3E3CA10B"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(3) Về việc sửa đổi, bổ sung hoặc ban hành mới, thay thế, bãi bỏ văn bản quy phạm pháp luật</w:t>
      </w:r>
    </w:p>
    <w:p w14:paraId="36FAF904" w14:textId="77777777" w:rsidR="000F0D45" w:rsidRPr="00ED5E38" w:rsidRDefault="000F0D45" w:rsidP="00893D79">
      <w:pPr>
        <w:spacing w:before="120" w:after="120" w:line="340" w:lineRule="exact"/>
        <w:ind w:firstLine="709"/>
        <w:jc w:val="both"/>
        <w:rPr>
          <w:i/>
          <w:iCs/>
          <w:noProof/>
          <w:color w:val="000000" w:themeColor="text1"/>
          <w:sz w:val="26"/>
          <w:szCs w:val="26"/>
          <w:lang w:val="vi-VN"/>
        </w:rPr>
      </w:pPr>
      <w:r w:rsidRPr="00ED5E38">
        <w:rPr>
          <w:noProof/>
          <w:color w:val="000000" w:themeColor="text1"/>
          <w:sz w:val="26"/>
          <w:szCs w:val="26"/>
          <w:lang w:val="vi-VN"/>
        </w:rPr>
        <w:lastRenderedPageBreak/>
        <w:t xml:space="preserve">Ban hành Nghị định thay thế Nghị định số 75/2019/NĐ-CP, trong đó </w:t>
      </w:r>
      <w:r w:rsidRPr="00ED5E38">
        <w:rPr>
          <w:iCs/>
          <w:noProof/>
          <w:color w:val="000000" w:themeColor="text1"/>
          <w:sz w:val="26"/>
          <w:szCs w:val="26"/>
          <w:lang w:val="vi-VN"/>
        </w:rPr>
        <w:t>quy định chi tiết, hướng dẫn nhằm hoàn thiện các nguyên tắc, nội dung trong xử lý vi phạm hành chính về cạnh tranh để đảm bảo linh hoạt, phù hợp với thực tiễn.</w:t>
      </w:r>
    </w:p>
    <w:p w14:paraId="552FD602"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(4) Về tính khả thi </w:t>
      </w:r>
    </w:p>
    <w:p w14:paraId="2731F67A"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Về cơ bản, việc điều tra, xử lý đối với </w:t>
      </w:r>
      <w:r w:rsidRPr="00ED5E38">
        <w:rPr>
          <w:iCs/>
          <w:noProof/>
          <w:color w:val="000000" w:themeColor="text1"/>
          <w:sz w:val="26"/>
          <w:szCs w:val="26"/>
          <w:lang w:val="vi-VN"/>
        </w:rPr>
        <w:t xml:space="preserve">các hành vi vi phạm hành chính về thỏa thuận hạn chế cạnh tranh, lạm dụng vị trí thống lĩnh thị trường, lạm dụng vị trí độc quyền, quy định về tập trung kinh tế, cạnh tranh không lành mạnh thực hiện theo quy trình tố tụng cạnh tranh quy định có thể được thực hiện được ngay trên cơ sở áp dụng nguyên tắc </w:t>
      </w:r>
      <w:r w:rsidRPr="00ED5E38">
        <w:rPr>
          <w:i/>
          <w:noProof/>
          <w:color w:val="000000" w:themeColor="text1"/>
          <w:sz w:val="26"/>
          <w:szCs w:val="26"/>
          <w:lang w:val="vi-VN"/>
        </w:rPr>
        <w:t>“Việc điều tra, xử lý vụ việc cạnh tranh, miễn trừ đối với thỏa thuận hạn chế cạnh tranh bị cấm và thông báo tập trung kinh tế phải áp dụng quy định của Luật này”</w:t>
      </w:r>
      <w:r w:rsidRPr="00ED5E38">
        <w:rPr>
          <w:iCs/>
          <w:noProof/>
          <w:color w:val="000000" w:themeColor="text1"/>
          <w:sz w:val="26"/>
          <w:szCs w:val="26"/>
          <w:lang w:val="vi-VN"/>
        </w:rPr>
        <w:t xml:space="preserve"> quy định tại Điều 4. Tuy nhiên, để đảm bảo toàn diện trong quá trình xử lý vụ việc cạnh tranh thì cần hoàn thiện các nguyên tắc, quy định trong xử lý vi phạm hành chính tại Nghị định.</w:t>
      </w:r>
    </w:p>
    <w:p w14:paraId="42C96170" w14:textId="77777777" w:rsidR="000F0D45" w:rsidRPr="00034921" w:rsidRDefault="000F0D45" w:rsidP="00893D79">
      <w:pPr>
        <w:tabs>
          <w:tab w:val="right" w:leader="dot" w:pos="7920"/>
        </w:tabs>
        <w:spacing w:before="120" w:after="120" w:line="340" w:lineRule="exact"/>
        <w:ind w:firstLine="709"/>
        <w:jc w:val="both"/>
        <w:rPr>
          <w:noProof/>
          <w:color w:val="000000" w:themeColor="text1"/>
          <w:spacing w:val="-2"/>
          <w:sz w:val="26"/>
          <w:szCs w:val="26"/>
          <w:lang w:val="vi-VN"/>
        </w:rPr>
      </w:pPr>
      <w:r w:rsidRPr="00034921">
        <w:rPr>
          <w:noProof/>
          <w:color w:val="000000" w:themeColor="text1"/>
          <w:spacing w:val="-2"/>
          <w:sz w:val="26"/>
          <w:szCs w:val="26"/>
          <w:lang w:val="vi-VN"/>
        </w:rPr>
        <w:t>+ Đánh giá tác động đối với các điều ước quốc tế có liên quan mà nước Cộng hòa xã hội chủ nghĩa Việt Nam là thành viên: Các điều ước quốc tế mà Việt Nam là thành viên có chương cạnh tranh như Hiệp định CPTPP, EVFTA, UKVFTA, RCEP chủ yếu yêu cầu các quốc gia thành viên duy trì luật cạnh tranh và bảo đảm thực thi minh bạch, công bằng thủ tục. Do đó, Giải pháp 1 tương thích và không có nguy cơ dẫn đến xung đột với các điều ước quốc tế và không có khả năng phát sinh tranh chấp quốc tế, tranh chấp thương mại, đầu tư.</w:t>
      </w:r>
      <w:r w:rsidRPr="00034921">
        <w:rPr>
          <w:bCs/>
          <w:noProof/>
          <w:color w:val="000000" w:themeColor="text1"/>
          <w:spacing w:val="-2"/>
          <w:sz w:val="26"/>
          <w:szCs w:val="26"/>
          <w:lang w:val="vi-VN"/>
        </w:rPr>
        <w:t xml:space="preserve"> </w:t>
      </w:r>
    </w:p>
    <w:p w14:paraId="42ABEB97" w14:textId="4040B762" w:rsidR="000F0D45" w:rsidRPr="009F4D93" w:rsidRDefault="000F0D45" w:rsidP="00893D79">
      <w:pPr>
        <w:spacing w:before="120" w:after="120" w:line="340" w:lineRule="exact"/>
        <w:ind w:firstLine="709"/>
        <w:rPr>
          <w:b/>
          <w:bCs/>
          <w:i/>
          <w:iCs/>
          <w:noProof/>
          <w:color w:val="000000" w:themeColor="text1"/>
          <w:sz w:val="26"/>
          <w:szCs w:val="26"/>
          <w:lang w:val="vi-VN"/>
        </w:rPr>
      </w:pPr>
      <w:r w:rsidRPr="009F4D93">
        <w:rPr>
          <w:b/>
          <w:bCs/>
          <w:i/>
          <w:iCs/>
          <w:noProof/>
          <w:color w:val="000000" w:themeColor="text1"/>
          <w:sz w:val="26"/>
          <w:szCs w:val="26"/>
          <w:lang w:val="vi-VN"/>
        </w:rPr>
        <w:t>- Tác động về kinh tế - xã hội</w:t>
      </w:r>
      <w:r w:rsidR="009F4D93" w:rsidRPr="009F4D93">
        <w:rPr>
          <w:b/>
          <w:bCs/>
          <w:i/>
          <w:iCs/>
          <w:noProof/>
          <w:color w:val="000000" w:themeColor="text1"/>
          <w:sz w:val="26"/>
          <w:szCs w:val="26"/>
          <w:lang w:val="vi-VN"/>
        </w:rPr>
        <w:t>:</w:t>
      </w:r>
    </w:p>
    <w:p w14:paraId="5879DAE4"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Nhà nước:</w:t>
      </w:r>
    </w:p>
    <w:p w14:paraId="55CF5144"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Tích cực: </w:t>
      </w:r>
    </w:p>
    <w:p w14:paraId="0D6D81E3"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Rõ ràng về phân định phạm vi áp dụng trình tự, thủ tục xử phạt</w:t>
      </w:r>
      <w:r w:rsidRPr="00ED5E38">
        <w:rPr>
          <w:noProof/>
          <w:color w:val="000000" w:themeColor="text1"/>
          <w:sz w:val="26"/>
          <w:szCs w:val="26"/>
          <w:lang w:val="vi-VN"/>
        </w:rPr>
        <w:br/>
        <w:t>Giải pháp 2 quy định rõ nhóm hành vi cạnh tranh cốt lõi thực hiện theo quy trình tố tụng cạnh tranh của Luật Cạnh tranh, nhóm vi phạm hành chính về cạnh tranh khác xử phạt theo Luật Xử lý vi phạm hành chính. Việc phân định này góp phần giảm rủi ro áp dụng sai quy trình, tăng tính thống nhất trong hoạt động thực thi, đồng thời hạn chế tranh chấp về tính hợp pháp của thủ tục xử lý.</w:t>
      </w:r>
    </w:p>
    <w:p w14:paraId="3D1C8F52"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hiệu lực điều tra và xử lý đối với hành vi phức tạp, khó phát hiện. Thời hiệu 05 năm đối với nhóm hành vi cốt lõi và quy định thời điểm tính thời hiệu tạo cơ sở pháp lý rõ ràng để cơ quan nhà nước triển khai điều tra, thu thập chứng cứ và xử lý vụ việc trong thời hạn phù hợp với tính chất, mức độ và đặc thù của hành vi.</w:t>
      </w:r>
    </w:p>
    <w:p w14:paraId="0BB31CED"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(iii) Giảm chi phí hành chính do hạn chế thủ tục trùng lặp. Quy định quyết định xử lý vụ việc cạnh tranh thay cho quyết định xử phạt vi phạm hành chính về cạnh tranh làm giảm việc ban hành nhiều quyết định đối với cùng một hành vi, giảm thời gian xử lý và chi phí hành chính trong nội bộ cơ quan nhà nước.</w:t>
      </w:r>
    </w:p>
    <w:p w14:paraId="7169654B"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Rủi ro phát sinh do ủy quyền quy định chi tiết quá rộng: Việc giao Chính phủ quy định chi tiết nhiều nội dung có thể làm tăng mức độ phụ thuộc vào văn </w:t>
      </w:r>
      <w:r w:rsidRPr="00ED5E38">
        <w:rPr>
          <w:noProof/>
          <w:color w:val="000000" w:themeColor="text1"/>
          <w:sz w:val="26"/>
          <w:szCs w:val="26"/>
          <w:lang w:val="vi-VN"/>
        </w:rPr>
        <w:lastRenderedPageBreak/>
        <w:t>bản dưới luật, ảnh hưởng đến tính ổn định, dự báo của khuôn khổ pháp lý và làm tăng chi phí tuân thủ, chi phí theo dõi cập nhật pháp luật đối với cơ quan thực thi và các chủ thể chịu tác động.</w:t>
      </w:r>
    </w:p>
    <w:p w14:paraId="735FED1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doanh nghiệp:</w:t>
      </w:r>
    </w:p>
    <w:p w14:paraId="4217C5DA"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Tích cực: Tăng tính minh bạch về quy trình xử lý. Việc tách bạch rõ hành vi cốt lõi theo tố tụng cạnh tranh và hành vi khác theo Luật Xử lý vi phạm hành chính giúp doanh nghiệp xác định rõ cơ chế áp dụng, hạn chế rủi ro do hiểu sai hoặc áp dụng sai thủ tục, qua đó giảm chi phí phát sinh do tranh chấp về thủ tục.</w:t>
      </w:r>
    </w:p>
    <w:p w14:paraId="250E1A15"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xml:space="preserve">Tiêu cực: </w:t>
      </w:r>
    </w:p>
    <w:p w14:paraId="290B61F6"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 Có khả năng dẫn tới tăng chi phí tuân thủ do thời hiệu kéo dài và quy định thời điểm tính thời hiệu. Thời hiệu 05 năm đối với nhóm hành vi cốt lõi làm tăng yêu cầu lưu trữ hồ sơ, dữ liệu, chứng cứ; tăng chi phí xây dựng và duy trì chương trình tuân thủ; tăng chi phí tư vấn, rà soát rủi ro cạnh tranh trong các hoạt động thương mại, phân phối và tập trung kinh tế. Quy định thời điểm tính thời hiệu đối với vi phạm đang thực hiện gắn với quyết định điều tra làm doanh nghiệp phải tăng chi phí đáp ứng yêu cầu cung cấp thông tin và phối hợp điều tra trong giai đoạn sớm hơn.</w:t>
      </w:r>
    </w:p>
    <w:p w14:paraId="34B9D50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(ii) Tăng chi phí tuân thủ do các nội dung khác trong xử lý vi phạm hành chính về cạnh tranh được quy định trong Nghị định dẫn đến doanh nghiệp có thể phát sinh chi phí theo dõi, cập nhật pháp luật và chi phí điều chỉnh quy trình nội bộ theo thay đổi của văn bản hướng dẫn.</w:t>
      </w:r>
    </w:p>
    <w:p w14:paraId="582E9CB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 Đối với tổ chức, cá nhân:</w:t>
      </w:r>
    </w:p>
    <w:p w14:paraId="0F3F58F9"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Tích cực: Việc tách bạch quy trình sẽ hạn chế rủi ro phát sinh do nhầm lẫn về thủ tục hoặc nghĩa vụ thi hành.</w:t>
      </w:r>
    </w:p>
    <w:p w14:paraId="0C45144A"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ED5E38">
        <w:rPr>
          <w:noProof/>
          <w:color w:val="000000" w:themeColor="text1"/>
          <w:sz w:val="26"/>
          <w:szCs w:val="26"/>
          <w:lang w:val="vi-VN"/>
        </w:rPr>
        <w:t>Tiêu cực: Thời hiệu kéo dài làm tăng trách nhiệm tuân thủ và nghĩa vụ lưu trữ, giải trình trong thời hạn dài hơn.</w:t>
      </w:r>
    </w:p>
    <w:p w14:paraId="51280777" w14:textId="77777777" w:rsidR="000F0D45" w:rsidRPr="00ED5E38" w:rsidRDefault="000F0D45" w:rsidP="00893D79">
      <w:pPr>
        <w:tabs>
          <w:tab w:val="right" w:leader="dot" w:pos="7920"/>
        </w:tabs>
        <w:spacing w:before="120" w:after="120" w:line="340" w:lineRule="exact"/>
        <w:ind w:firstLine="709"/>
        <w:jc w:val="both"/>
        <w:rPr>
          <w:noProof/>
          <w:color w:val="000000" w:themeColor="text1"/>
          <w:sz w:val="26"/>
          <w:szCs w:val="26"/>
          <w:lang w:val="vi-VN"/>
        </w:rPr>
      </w:pPr>
      <w:r w:rsidRPr="00034921">
        <w:rPr>
          <w:b/>
          <w:bCs/>
          <w:i/>
          <w:iCs/>
          <w:noProof/>
          <w:color w:val="000000" w:themeColor="text1"/>
          <w:sz w:val="26"/>
          <w:szCs w:val="26"/>
          <w:lang w:val="vi-VN"/>
        </w:rPr>
        <w:t>- Tác động về giới (nếu có):</w:t>
      </w:r>
      <w:r w:rsidRPr="00ED5E38">
        <w:rPr>
          <w:noProof/>
          <w:color w:val="000000" w:themeColor="text1"/>
          <w:sz w:val="26"/>
          <w:szCs w:val="26"/>
          <w:lang w:val="vi-VN"/>
        </w:rPr>
        <w:t xml:space="preserve"> Chính sách không tạo ra sự phân biệt đối xử về giới, không đặt ra quy định riêng đối với nam hoặc nữ, tác động của chính sách là trung tính về giới.</w:t>
      </w:r>
    </w:p>
    <w:p w14:paraId="07B33CFF" w14:textId="77777777" w:rsidR="000F0D45" w:rsidRPr="00ED5E38" w:rsidRDefault="000F0D45" w:rsidP="00893D79">
      <w:pPr>
        <w:spacing w:before="120" w:after="120" w:line="340" w:lineRule="exact"/>
        <w:ind w:firstLine="709"/>
        <w:jc w:val="both"/>
        <w:rPr>
          <w:noProof/>
          <w:color w:val="000000" w:themeColor="text1"/>
          <w:sz w:val="26"/>
          <w:szCs w:val="26"/>
          <w:lang w:val="vi-VN"/>
        </w:rPr>
      </w:pPr>
      <w:r w:rsidRPr="00034921">
        <w:rPr>
          <w:b/>
          <w:bCs/>
          <w:i/>
          <w:iCs/>
          <w:noProof/>
          <w:color w:val="000000" w:themeColor="text1"/>
          <w:sz w:val="26"/>
          <w:szCs w:val="26"/>
          <w:lang w:val="vi-VN"/>
        </w:rPr>
        <w:t>- Tác động của thủ tục hành chính (nếu có):</w:t>
      </w:r>
      <w:r w:rsidRPr="00034921">
        <w:rPr>
          <w:b/>
          <w:bCs/>
          <w:noProof/>
          <w:color w:val="000000" w:themeColor="text1"/>
          <w:sz w:val="26"/>
          <w:szCs w:val="26"/>
          <w:lang w:val="vi-VN"/>
        </w:rPr>
        <w:t xml:space="preserve"> </w:t>
      </w:r>
      <w:r w:rsidRPr="00ED5E38">
        <w:rPr>
          <w:noProof/>
          <w:color w:val="000000" w:themeColor="text1"/>
          <w:sz w:val="26"/>
          <w:szCs w:val="26"/>
          <w:lang w:val="vi-VN"/>
        </w:rPr>
        <w:t xml:space="preserve">Chính sách không tạo ra thủ tục hành chính mới. </w:t>
      </w:r>
    </w:p>
    <w:p w14:paraId="0B76C5F2" w14:textId="39E5AB3C" w:rsidR="000F0D45" w:rsidRPr="00ED5E38" w:rsidRDefault="000F0D45" w:rsidP="006400D7">
      <w:pPr>
        <w:pStyle w:val="Heading1"/>
      </w:pPr>
      <w:r w:rsidRPr="00ED5E38">
        <w:t>2.</w:t>
      </w:r>
      <w:r w:rsidR="00D31383">
        <w:rPr>
          <w:lang w:val="en-US"/>
        </w:rPr>
        <w:t>3</w:t>
      </w:r>
      <w:r w:rsidRPr="00ED5E38">
        <w:t>.</w:t>
      </w:r>
      <w:r w:rsidR="00102578" w:rsidRPr="00ED5E38">
        <w:t>1.2.2.</w:t>
      </w:r>
      <w:r w:rsidRPr="00ED5E38">
        <w:t xml:space="preserve"> Giải pháp tối ưu được lựa chọn và lý do lựa chọn giải pháp</w:t>
      </w:r>
    </w:p>
    <w:p w14:paraId="1833C5DD" w14:textId="457C4CF2" w:rsidR="000F0D45" w:rsidRPr="00ED5E38" w:rsidRDefault="000F0D45" w:rsidP="00034921">
      <w:pPr>
        <w:spacing w:before="120" w:after="120" w:line="340" w:lineRule="exact"/>
        <w:ind w:firstLine="709"/>
        <w:jc w:val="both"/>
        <w:rPr>
          <w:noProof/>
          <w:color w:val="000000" w:themeColor="text1"/>
          <w:lang w:val="vi-VN"/>
        </w:rPr>
      </w:pPr>
      <w:r w:rsidRPr="00ED5E38">
        <w:rPr>
          <w:noProof/>
          <w:color w:val="000000" w:themeColor="text1"/>
          <w:lang w:val="vi-VN"/>
        </w:rPr>
        <w:t>Bảng so sánh giữa Giải pháp 1 và Giải pháp 2:</w:t>
      </w:r>
    </w:p>
    <w:tbl>
      <w:tblPr>
        <w:tblStyle w:val="TableGrid"/>
        <w:tblW w:w="10348" w:type="dxa"/>
        <w:tblInd w:w="-714" w:type="dxa"/>
        <w:tblLook w:val="04A0" w:firstRow="1" w:lastRow="0" w:firstColumn="1" w:lastColumn="0" w:noHBand="0" w:noVBand="1"/>
      </w:tblPr>
      <w:tblGrid>
        <w:gridCol w:w="1985"/>
        <w:gridCol w:w="4111"/>
        <w:gridCol w:w="4252"/>
      </w:tblGrid>
      <w:tr w:rsidR="000F0D45" w:rsidRPr="00ED5E38" w14:paraId="3D526EC6" w14:textId="77777777" w:rsidTr="002B2018">
        <w:tc>
          <w:tcPr>
            <w:tcW w:w="1985" w:type="dxa"/>
          </w:tcPr>
          <w:p w14:paraId="153A61CA" w14:textId="77777777" w:rsidR="000F0D45" w:rsidRPr="00ED5E38" w:rsidRDefault="000F0D45" w:rsidP="002B2018">
            <w:pPr>
              <w:spacing w:before="120" w:after="120" w:line="276" w:lineRule="auto"/>
              <w:jc w:val="center"/>
              <w:rPr>
                <w:b/>
                <w:iCs/>
                <w:noProof/>
                <w:color w:val="000000" w:themeColor="text1"/>
                <w:sz w:val="26"/>
                <w:szCs w:val="26"/>
                <w:lang w:val="vi-VN"/>
              </w:rPr>
            </w:pPr>
            <w:r w:rsidRPr="00ED5E38">
              <w:rPr>
                <w:b/>
                <w:iCs/>
                <w:noProof/>
                <w:color w:val="000000" w:themeColor="text1"/>
                <w:sz w:val="26"/>
                <w:szCs w:val="26"/>
                <w:lang w:val="vi-VN"/>
              </w:rPr>
              <w:t>Tiêu chí RIA</w:t>
            </w:r>
          </w:p>
        </w:tc>
        <w:tc>
          <w:tcPr>
            <w:tcW w:w="4111" w:type="dxa"/>
          </w:tcPr>
          <w:p w14:paraId="7BC64631" w14:textId="77777777" w:rsidR="000F0D45" w:rsidRPr="00ED5E38" w:rsidRDefault="000F0D45" w:rsidP="002B2018">
            <w:pPr>
              <w:spacing w:before="120" w:after="120" w:line="276" w:lineRule="auto"/>
              <w:jc w:val="center"/>
              <w:rPr>
                <w:b/>
                <w:iCs/>
                <w:noProof/>
                <w:color w:val="000000" w:themeColor="text1"/>
                <w:sz w:val="26"/>
                <w:szCs w:val="26"/>
                <w:lang w:val="vi-VN"/>
              </w:rPr>
            </w:pPr>
            <w:r w:rsidRPr="00ED5E38">
              <w:rPr>
                <w:b/>
                <w:iCs/>
                <w:noProof/>
                <w:color w:val="000000" w:themeColor="text1"/>
                <w:sz w:val="26"/>
                <w:szCs w:val="26"/>
                <w:lang w:val="vi-VN"/>
              </w:rPr>
              <w:t>Giải pháp 1</w:t>
            </w:r>
          </w:p>
        </w:tc>
        <w:tc>
          <w:tcPr>
            <w:tcW w:w="4252" w:type="dxa"/>
          </w:tcPr>
          <w:p w14:paraId="007FAE68" w14:textId="77777777" w:rsidR="000F0D45" w:rsidRPr="00ED5E38" w:rsidRDefault="000F0D45" w:rsidP="002B2018">
            <w:pPr>
              <w:spacing w:before="120" w:after="120" w:line="276" w:lineRule="auto"/>
              <w:jc w:val="center"/>
              <w:rPr>
                <w:b/>
                <w:iCs/>
                <w:noProof/>
                <w:color w:val="000000" w:themeColor="text1"/>
                <w:sz w:val="26"/>
                <w:szCs w:val="26"/>
                <w:lang w:val="vi-VN"/>
              </w:rPr>
            </w:pPr>
            <w:r w:rsidRPr="00ED5E38">
              <w:rPr>
                <w:b/>
                <w:iCs/>
                <w:noProof/>
                <w:color w:val="000000" w:themeColor="text1"/>
                <w:sz w:val="26"/>
                <w:szCs w:val="26"/>
                <w:lang w:val="vi-VN"/>
              </w:rPr>
              <w:t>Giải pháp 2</w:t>
            </w:r>
          </w:p>
        </w:tc>
      </w:tr>
      <w:tr w:rsidR="000F0D45" w:rsidRPr="00ED5E38" w14:paraId="50FDF5AC" w14:textId="77777777" w:rsidTr="002B2018">
        <w:tc>
          <w:tcPr>
            <w:tcW w:w="1985" w:type="dxa"/>
          </w:tcPr>
          <w:p w14:paraId="1E70751B" w14:textId="4C8EB832"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1</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 xml:space="preserve">Mức độ giải quyết vấn đề chính sách (tính phù hợp với </w:t>
            </w:r>
            <w:r w:rsidRPr="00ED5E38">
              <w:rPr>
                <w:bCs/>
                <w:iCs/>
                <w:noProof/>
                <w:color w:val="000000" w:themeColor="text1"/>
                <w:sz w:val="26"/>
                <w:szCs w:val="26"/>
                <w:lang w:val="vi-VN"/>
              </w:rPr>
              <w:lastRenderedPageBreak/>
              <w:t>nguyên nhân gốc)</w:t>
            </w:r>
          </w:p>
        </w:tc>
        <w:tc>
          <w:tcPr>
            <w:tcW w:w="4111" w:type="dxa"/>
          </w:tcPr>
          <w:p w14:paraId="5B493D36"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 xml:space="preserve">Giải quyết vấn đề theo hướng đồng bộ, thống nhất giữa các văn bản quy phạm pháp luật, làm rõ quan hệ giữa tố tụng cạnh tranh và xử phạt vi phạm </w:t>
            </w:r>
            <w:r w:rsidRPr="00ED5E38">
              <w:rPr>
                <w:bCs/>
                <w:iCs/>
                <w:noProof/>
                <w:color w:val="000000" w:themeColor="text1"/>
                <w:sz w:val="26"/>
                <w:szCs w:val="26"/>
                <w:lang w:val="vi-VN"/>
              </w:rPr>
              <w:lastRenderedPageBreak/>
              <w:t xml:space="preserve">hành chính; giảm tình trạng áp dụng đồng thời hai quy trình cho cùng hành vi. </w:t>
            </w:r>
          </w:p>
        </w:tc>
        <w:tc>
          <w:tcPr>
            <w:tcW w:w="4252" w:type="dxa"/>
          </w:tcPr>
          <w:p w14:paraId="23BE277F"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 xml:space="preserve">Giải quyết trực diện tại Luật Cạnh tranh theo hướng phân định rõ phạm vi áp dụng: nhóm hành vi cốt lõi xử lý theo tố tụng cạnh tranh; nhóm khác </w:t>
            </w:r>
            <w:r w:rsidRPr="00ED5E38">
              <w:rPr>
                <w:bCs/>
                <w:iCs/>
                <w:noProof/>
                <w:color w:val="000000" w:themeColor="text1"/>
                <w:sz w:val="26"/>
                <w:szCs w:val="26"/>
                <w:lang w:val="vi-VN"/>
              </w:rPr>
              <w:lastRenderedPageBreak/>
              <w:t xml:space="preserve">theo thủ tục xử phạt vi phạm hành chính. </w:t>
            </w:r>
          </w:p>
        </w:tc>
      </w:tr>
      <w:tr w:rsidR="000F0D45" w:rsidRPr="00ED5E38" w14:paraId="75CFD90A" w14:textId="77777777" w:rsidTr="002B2018">
        <w:tc>
          <w:tcPr>
            <w:tcW w:w="1985" w:type="dxa"/>
          </w:tcPr>
          <w:p w14:paraId="39C6ACB7" w14:textId="1A3D3C4B"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2</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Tính hợp hiến</w:t>
            </w:r>
          </w:p>
        </w:tc>
        <w:tc>
          <w:tcPr>
            <w:tcW w:w="4111" w:type="dxa"/>
          </w:tcPr>
          <w:p w14:paraId="15DCAB2B"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Được đánh giá phù hợp Hiến pháp do bảo đảm yêu cầu cạnh tranh theo pháp luật và giới hạn quyền chỉ bằng luật khi cần thiết; việc hoàn thiện cơ chế xử lý vi phạm nhằm bảo đảm trật tự cạnh tranh, lợi ích công cộng.</w:t>
            </w:r>
          </w:p>
        </w:tc>
        <w:tc>
          <w:tcPr>
            <w:tcW w:w="4252" w:type="dxa"/>
          </w:tcPr>
          <w:p w14:paraId="4D9F5D6C"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Tương tự Giải pháp 1: không làm phát sinh hạn chế quyền ngoài khuôn khổ luật; làm rõ cơ chế xử lý nhằm bảo đảm cạnh tranh lành mạnh, bảo vệ lợi ích Nhà nước, tổ chức, cá nhân.</w:t>
            </w:r>
          </w:p>
        </w:tc>
      </w:tr>
      <w:tr w:rsidR="000F0D45" w:rsidRPr="00ED5E38" w14:paraId="57191C91" w14:textId="77777777" w:rsidTr="002B2018">
        <w:tc>
          <w:tcPr>
            <w:tcW w:w="1985" w:type="dxa"/>
          </w:tcPr>
          <w:p w14:paraId="41C6488C" w14:textId="3A3ED2D4"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3</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Tính hợp pháp, tính thống nhất của hệ thống pháp luật</w:t>
            </w:r>
          </w:p>
        </w:tc>
        <w:tc>
          <w:tcPr>
            <w:tcW w:w="4111" w:type="dxa"/>
          </w:tcPr>
          <w:p w14:paraId="6ED9FCB2"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Việc sửa đổi đồng thời Luật Xử lý vi phạm hành chính để xử lý các điểm xung đột tạo hiệu quả đồng bộ, mức thống nhất cao ngay nếu các sửa đổi được chấp nhận</w:t>
            </w:r>
          </w:p>
        </w:tc>
        <w:tc>
          <w:tcPr>
            <w:tcW w:w="4252" w:type="dxa"/>
          </w:tcPr>
          <w:p w14:paraId="3BC030B3"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Chủ yếu sửa Luật Cạnh tranh, không đặt trọng tâm sửa Luật Xử lý vi phạm hành chính. Vì vậy, cần kỹ thuật quy phạm để bảo đảm không tạo xung đột khi áp dụng song song với luật chung.</w:t>
            </w:r>
          </w:p>
        </w:tc>
      </w:tr>
      <w:tr w:rsidR="000F0D45" w:rsidRPr="00ED5E38" w14:paraId="16B1B456" w14:textId="77777777" w:rsidTr="002B2018">
        <w:tc>
          <w:tcPr>
            <w:tcW w:w="1985" w:type="dxa"/>
          </w:tcPr>
          <w:p w14:paraId="7969C2D6" w14:textId="172AD0BB"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4</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Tính rõ ràng, minh bạch của quy phạm (dễ hiểu, dễ áp dụng)</w:t>
            </w:r>
          </w:p>
        </w:tc>
        <w:tc>
          <w:tcPr>
            <w:tcW w:w="4111" w:type="dxa"/>
          </w:tcPr>
          <w:p w14:paraId="6964759D"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Tăng minh bạch thông qua: (i) chuẩn hóa nội dung quyết định xử lý vụ việc cạnh tranh (Điều 94) tiệm cận nội dung quyết định xử phạt; (ii) quy định “quyết định xử lý vụ việc cạnh tranh thay cho quyết định xử phạt”. Tuy nhiên, mức độ “rõ phân luồng” giữa 2 quy trình vẫn phụ thuộc nhiều vào cách dẫn chiếu và cách sửa Luật Xử lý vi phạm hành chính.</w:t>
            </w:r>
          </w:p>
        </w:tc>
        <w:tc>
          <w:tcPr>
            <w:tcW w:w="4252" w:type="dxa"/>
          </w:tcPr>
          <w:p w14:paraId="4E00FB33"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Minh bạch cao do “đặt quy tắc phân luồng ngay trong Luật Cạnh tranh”: quy định rõ nhóm hành vi nào theo tố tụng cạnh tranh, nhóm nào theo thủ tục xử phạt vi phạm hành chính; đồng thời khẳng định rõ giá trị pháp lý của quyết định xử lý vụ việc cạnh tranh như quyết định xử phạt vi phạm hành chính.</w:t>
            </w:r>
          </w:p>
        </w:tc>
      </w:tr>
      <w:tr w:rsidR="000F0D45" w:rsidRPr="00ED5E38" w14:paraId="3751E7C2" w14:textId="77777777" w:rsidTr="002B2018">
        <w:tc>
          <w:tcPr>
            <w:tcW w:w="1985" w:type="dxa"/>
          </w:tcPr>
          <w:p w14:paraId="3A6014CB" w14:textId="609654DF"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5</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Tính hiệu lực, hiệu quả (khả năng đạt mục tiêu; giảm thủ tục trùng lặp)</w:t>
            </w:r>
          </w:p>
        </w:tc>
        <w:tc>
          <w:tcPr>
            <w:tcW w:w="4111" w:type="dxa"/>
          </w:tcPr>
          <w:p w14:paraId="130A8983"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Có khả năng giảm đáng kể thủ tục trùng lặp thông qua cơ chế “một quyết định” và sửa Luật Xử lý vi phạm hành chính để tránh phát sinh thêm một quyết định xử phạt sau khi đã có quyết định xử lý vụ việc cạnh tranh.</w:t>
            </w:r>
          </w:p>
        </w:tc>
        <w:tc>
          <w:tcPr>
            <w:tcW w:w="4252" w:type="dxa"/>
          </w:tcPr>
          <w:p w14:paraId="164A314C"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Giảm thủ tục trùng lặp ở mức cao do “cắt lớp” ngay từ thiết kế quy trình: nhóm cốt lõi đi theo tố tụng cạnh tranh và kết thúc bằng quyết định có giá trị như quyết định xử phạt; nhóm khác đi theo Luật Xử lý vi phạm hành chính. Tuy nhiên, để hiệu quả thực thi cao cần văn bản quy định chi tiết, biểu mẫu, tổ chức triển khai thống nhất.</w:t>
            </w:r>
          </w:p>
        </w:tc>
      </w:tr>
      <w:tr w:rsidR="000F0D45" w:rsidRPr="00ED5E38" w14:paraId="20D15FDB" w14:textId="77777777" w:rsidTr="002B2018">
        <w:tc>
          <w:tcPr>
            <w:tcW w:w="1985" w:type="dxa"/>
          </w:tcPr>
          <w:p w14:paraId="5C34CB53" w14:textId="0242DF09"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6</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Tác động chi phí – lợi ích (định tính)</w:t>
            </w:r>
          </w:p>
        </w:tc>
        <w:tc>
          <w:tcPr>
            <w:tcW w:w="4111" w:type="dxa"/>
          </w:tcPr>
          <w:p w14:paraId="706924CA"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 xml:space="preserve">Lợi ích: Tăng khả năng thi hành, giảm chi phí hành chính do tránh ban hành trùng quyết định; tăng khả năng xử lý vi phạm do thời hiệu dài hơn. </w:t>
            </w:r>
          </w:p>
          <w:p w14:paraId="0CB539F8"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Chi phí: chi phí chuyển đổi do sửa đồng thời hai luật; chi phí tuân thủ của doanh nghiệp tăng do thời hiệu 05 năm với nhóm cốt lõi.</w:t>
            </w:r>
          </w:p>
        </w:tc>
        <w:tc>
          <w:tcPr>
            <w:tcW w:w="4252" w:type="dxa"/>
          </w:tcPr>
          <w:p w14:paraId="1F7D97D1"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 xml:space="preserve">Lợi ích: Giảm xung đột quy trình trong thực tiễn nhờ phân luồng rõ; tăng dự báo về cơ chế áp dụng; thuận lợi thi hành do quyết định có giá trị như quyết định xử phạt. </w:t>
            </w:r>
          </w:p>
          <w:p w14:paraId="3035F3A9"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Chi phí: chi phí tuân thủ tăng tương tự về thời hiệu; rủi ro chi phí tuân thủ/chi phí thích nghi tăng nếu phạm vi giao Chính phủ quy định chi tiết quá rộng (phụ thuộc nhiều văn bản dưới luật).</w:t>
            </w:r>
          </w:p>
        </w:tc>
      </w:tr>
      <w:tr w:rsidR="000F0D45" w:rsidRPr="00ED5E38" w14:paraId="7BD7F83D" w14:textId="77777777" w:rsidTr="002B2018">
        <w:tc>
          <w:tcPr>
            <w:tcW w:w="1985" w:type="dxa"/>
          </w:tcPr>
          <w:p w14:paraId="1B5716A6" w14:textId="5A72FE96"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lastRenderedPageBreak/>
              <w:t>7</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Tác động đối với nhóm đối tượng chịu tác động (Nhà nước, doanh nghiệp, tổ chức, cá nhân)</w:t>
            </w:r>
          </w:p>
        </w:tc>
        <w:tc>
          <w:tcPr>
            <w:tcW w:w="4111" w:type="dxa"/>
          </w:tcPr>
          <w:p w14:paraId="770C99B8"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 xml:space="preserve">Nhà nước: giảm chi phí hành chính do tránh “hai lần thủ tục”; nhưng tăng yêu cầu phối hợp liên ngành do sửa cả Luật Xử lý vi phạm hành chính. </w:t>
            </w:r>
          </w:p>
          <w:p w14:paraId="3972299F"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Doanh nghiệp/tổ chức/cá nhân: giảm gánh nặng thủ tục nếu “một quyết định”; đồng thời tăng trách nhiệm lưu trữ/tuân thủ do thời hiệu dài.</w:t>
            </w:r>
          </w:p>
        </w:tc>
        <w:tc>
          <w:tcPr>
            <w:tcW w:w="4252" w:type="dxa"/>
          </w:tcPr>
          <w:p w14:paraId="6BB38350"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 xml:space="preserve">Nhà nước: thuận lợi trong áp dụng quy trình do phân luồng rõ ngay trong luật chuyên ngành; nhưng tăng áp lực ban hành quy định chi tiết và chuẩn hóa biểu mẫu. </w:t>
            </w:r>
          </w:p>
          <w:p w14:paraId="60C189FF"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Doanh nghiệp/tổ chức/cá nhân: dự báo tốt hơn về quy trình áp dụng; chi phí tuân thủ tăng do thời hiệu và yêu cầu hợp tác điều tra (đặc biệt nhóm cốt lõi).</w:t>
            </w:r>
          </w:p>
        </w:tc>
      </w:tr>
      <w:tr w:rsidR="000F0D45" w:rsidRPr="00ED5E38" w14:paraId="4EC0DC72" w14:textId="77777777" w:rsidTr="002B2018">
        <w:tc>
          <w:tcPr>
            <w:tcW w:w="1985" w:type="dxa"/>
          </w:tcPr>
          <w:p w14:paraId="275B3EFD" w14:textId="089DA1AE"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8</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 xml:space="preserve">Tính khả thi pháp lý </w:t>
            </w:r>
          </w:p>
        </w:tc>
        <w:tc>
          <w:tcPr>
            <w:tcW w:w="4111" w:type="dxa"/>
          </w:tcPr>
          <w:p w14:paraId="728C2914"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Phụ thuộc cao vào việc sửa cả hai luật (Luật Cạnh tranh và Luật Xử lý vi phạm hành chính) để giải quyết xung đột thời hiệu và cơ chế thủ tục. Tuy nhiên, trong bối cảnh hiện nay cả hai Luật đều đang được sửa đổi và cùng lúc được thông qua trong một kỳ họp.</w:t>
            </w:r>
          </w:p>
        </w:tc>
        <w:tc>
          <w:tcPr>
            <w:tcW w:w="4252" w:type="dxa"/>
          </w:tcPr>
          <w:p w14:paraId="0610D4D0"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Phụ thuộc chủ yếu vào sửa Luật Cạnh tranh. Mức độ khả thi còn phụ thuộc vào việc thiết kế hợp lý nội dung giao Chính phủ quy định chi tiết.</w:t>
            </w:r>
          </w:p>
        </w:tc>
      </w:tr>
      <w:tr w:rsidR="000F0D45" w:rsidRPr="00ED5E38" w14:paraId="161CA765" w14:textId="77777777" w:rsidTr="002B2018">
        <w:tc>
          <w:tcPr>
            <w:tcW w:w="1985" w:type="dxa"/>
          </w:tcPr>
          <w:p w14:paraId="57D5D3AF" w14:textId="22504AE2"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9</w:t>
            </w:r>
            <w:r w:rsidR="006B1488" w:rsidRPr="00ED5E38">
              <w:rPr>
                <w:bCs/>
                <w:iCs/>
                <w:noProof/>
                <w:color w:val="000000" w:themeColor="text1"/>
                <w:sz w:val="26"/>
                <w:szCs w:val="26"/>
                <w:lang w:val="vi-VN"/>
              </w:rPr>
              <w:t xml:space="preserve">. </w:t>
            </w:r>
            <w:r w:rsidRPr="00ED5E38">
              <w:rPr>
                <w:bCs/>
                <w:iCs/>
                <w:noProof/>
                <w:color w:val="000000" w:themeColor="text1"/>
                <w:sz w:val="26"/>
                <w:szCs w:val="26"/>
                <w:lang w:val="vi-VN"/>
              </w:rPr>
              <w:t>Rủi ro chính sách và rủi ro tranh chấp</w:t>
            </w:r>
          </w:p>
        </w:tc>
        <w:tc>
          <w:tcPr>
            <w:tcW w:w="4111" w:type="dxa"/>
          </w:tcPr>
          <w:p w14:paraId="4126CB59"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Rủi ro chủ yếu được nêu trong hồ sơ là xung đột thời hiệu nếu không sửa Luật Xử lý vi phạm hành chính</w:t>
            </w:r>
          </w:p>
        </w:tc>
        <w:tc>
          <w:tcPr>
            <w:tcW w:w="4252" w:type="dxa"/>
          </w:tcPr>
          <w:p w14:paraId="0853E8F5" w14:textId="77777777" w:rsidR="000F0D45" w:rsidRPr="00ED5E38" w:rsidRDefault="000F0D45" w:rsidP="002B2018">
            <w:pPr>
              <w:spacing w:before="120" w:after="120" w:line="276" w:lineRule="auto"/>
              <w:jc w:val="both"/>
              <w:rPr>
                <w:bCs/>
                <w:iCs/>
                <w:noProof/>
                <w:color w:val="000000" w:themeColor="text1"/>
                <w:sz w:val="26"/>
                <w:szCs w:val="26"/>
                <w:lang w:val="vi-VN"/>
              </w:rPr>
            </w:pPr>
            <w:r w:rsidRPr="00ED5E38">
              <w:rPr>
                <w:bCs/>
                <w:iCs/>
                <w:noProof/>
                <w:color w:val="000000" w:themeColor="text1"/>
                <w:sz w:val="26"/>
                <w:szCs w:val="26"/>
                <w:lang w:val="vi-VN"/>
              </w:rPr>
              <w:t>Rủi ro nếu phạm vi giao Chính phủ quy định chi tiết quá rộng</w:t>
            </w:r>
          </w:p>
        </w:tc>
      </w:tr>
    </w:tbl>
    <w:p w14:paraId="3F935336" w14:textId="6363A63D" w:rsidR="000F0D45" w:rsidRPr="00034921" w:rsidRDefault="000F0D45" w:rsidP="00034921">
      <w:pPr>
        <w:spacing w:before="120" w:after="120" w:line="340" w:lineRule="exact"/>
        <w:ind w:firstLine="720"/>
        <w:jc w:val="both"/>
        <w:rPr>
          <w:noProof/>
          <w:color w:val="000000" w:themeColor="text1"/>
          <w:sz w:val="26"/>
          <w:szCs w:val="26"/>
          <w:lang w:val="vi-VN"/>
        </w:rPr>
      </w:pPr>
      <w:r w:rsidRPr="00034921">
        <w:rPr>
          <w:noProof/>
          <w:color w:val="000000" w:themeColor="text1"/>
          <w:sz w:val="26"/>
          <w:szCs w:val="26"/>
          <w:lang w:val="vi-VN"/>
        </w:rPr>
        <w:t>Trên cơ sở nội dung so sánh 2 giải pháp nêu trên, Bộ Công Thương lựa chọn “</w:t>
      </w:r>
      <w:r w:rsidRPr="00034921">
        <w:rPr>
          <w:b/>
          <w:bCs/>
          <w:noProof/>
          <w:color w:val="000000" w:themeColor="text1"/>
          <w:sz w:val="26"/>
          <w:szCs w:val="26"/>
          <w:lang w:val="vi-VN"/>
        </w:rPr>
        <w:t>Giải pháp  1</w:t>
      </w:r>
      <w:r w:rsidRPr="00034921">
        <w:rPr>
          <w:noProof/>
          <w:color w:val="000000" w:themeColor="text1"/>
          <w:sz w:val="26"/>
          <w:szCs w:val="26"/>
          <w:lang w:val="vi-VN"/>
        </w:rPr>
        <w:t>” để đảm bảo giải quyết những mâu thuẫn, chồng chéo giữa Luật Cạnh tranh và Luật Xử lý vi phạm hành chính hiện nay; đồng thời tiết kiệm chi phí, thời gian cũng như công sức của tổ chức, cá nhân, doanh nghiệp và cơ quan nhà nước trong việc thực hiện quy trình xử lý vi phạm hành chính đối với các hành vi vi phạm quy định về thỏa thuận hạn chế cạnh tranh;  lạm dụng vị trí thống lĩnh thị trường, lạm dụng vị trí độc quyền;</w:t>
      </w:r>
      <w:r w:rsidRPr="00034921">
        <w:rPr>
          <w:noProof/>
          <w:color w:val="000000" w:themeColor="text1"/>
          <w:sz w:val="26"/>
          <w:szCs w:val="26"/>
          <w:shd w:val="clear" w:color="auto" w:fill="FFFFFF"/>
          <w:lang w:val="vi-VN"/>
        </w:rPr>
        <w:t xml:space="preserve"> </w:t>
      </w:r>
      <w:r w:rsidRPr="00034921">
        <w:rPr>
          <w:noProof/>
          <w:color w:val="000000" w:themeColor="text1"/>
          <w:sz w:val="26"/>
          <w:szCs w:val="26"/>
          <w:lang w:val="vi-VN"/>
        </w:rPr>
        <w:t>tập trung kinh tế;</w:t>
      </w:r>
      <w:r w:rsidRPr="00034921">
        <w:rPr>
          <w:noProof/>
          <w:color w:val="000000" w:themeColor="text1"/>
          <w:sz w:val="26"/>
          <w:szCs w:val="26"/>
          <w:shd w:val="clear" w:color="auto" w:fill="FFFFFF"/>
          <w:lang w:val="vi-VN"/>
        </w:rPr>
        <w:t xml:space="preserve"> </w:t>
      </w:r>
      <w:r w:rsidRPr="00034921">
        <w:rPr>
          <w:noProof/>
          <w:color w:val="000000" w:themeColor="text1"/>
          <w:sz w:val="26"/>
          <w:szCs w:val="26"/>
          <w:lang w:val="vi-VN"/>
        </w:rPr>
        <w:t>cạnh tranh không lành mạnh và đảm bảo tính linh hoạt, phù hợp với thực tiễn.</w:t>
      </w:r>
    </w:p>
    <w:p w14:paraId="36F97307" w14:textId="32500F15" w:rsidR="00A97C72" w:rsidRPr="00034921" w:rsidRDefault="00A97C72" w:rsidP="00D31383">
      <w:pPr>
        <w:spacing w:before="120" w:after="120" w:line="340" w:lineRule="exact"/>
        <w:ind w:firstLine="709"/>
        <w:jc w:val="both"/>
        <w:outlineLvl w:val="0"/>
        <w:rPr>
          <w:b/>
          <w:bCs/>
          <w:noProof/>
          <w:color w:val="000000" w:themeColor="text1"/>
          <w:sz w:val="26"/>
          <w:szCs w:val="26"/>
          <w:lang w:val="vi-VN"/>
        </w:rPr>
      </w:pPr>
      <w:r w:rsidRPr="00034921">
        <w:rPr>
          <w:b/>
          <w:bCs/>
          <w:noProof/>
          <w:color w:val="000000" w:themeColor="text1"/>
          <w:kern w:val="36"/>
          <w:sz w:val="26"/>
          <w:szCs w:val="26"/>
          <w:lang w:val="vi-VN"/>
        </w:rPr>
        <w:t>2.</w:t>
      </w:r>
      <w:r w:rsidR="00D31383">
        <w:rPr>
          <w:b/>
          <w:bCs/>
          <w:noProof/>
          <w:color w:val="000000" w:themeColor="text1"/>
          <w:kern w:val="36"/>
          <w:sz w:val="26"/>
          <w:szCs w:val="26"/>
        </w:rPr>
        <w:t>3</w:t>
      </w:r>
      <w:r w:rsidRPr="00034921">
        <w:rPr>
          <w:b/>
          <w:bCs/>
          <w:noProof/>
          <w:color w:val="000000" w:themeColor="text1"/>
          <w:kern w:val="36"/>
          <w:sz w:val="26"/>
          <w:szCs w:val="26"/>
          <w:lang w:val="vi-VN"/>
        </w:rPr>
        <w:t>.1.3. Vấn đề 3: Sửa đổi, bổ sung</w:t>
      </w:r>
      <w:r w:rsidRPr="00034921">
        <w:rPr>
          <w:b/>
          <w:bCs/>
          <w:noProof/>
          <w:color w:val="000000" w:themeColor="text1"/>
          <w:sz w:val="26"/>
          <w:szCs w:val="26"/>
          <w:lang w:val="vi-VN"/>
        </w:rPr>
        <w:t xml:space="preserve"> một số quy định liên quan đến thủ tục hành chính trong thực thi pháp luật cạnh tranh nhằm đảm bảo tinh gọn, rõ ràng, minh bạch</w:t>
      </w:r>
    </w:p>
    <w:p w14:paraId="1986A677" w14:textId="19EE5757" w:rsidR="00A97C72" w:rsidRPr="009F4D93" w:rsidRDefault="00A97C72" w:rsidP="007A3223">
      <w:pPr>
        <w:pStyle w:val="Heading1"/>
        <w:spacing w:line="340" w:lineRule="exact"/>
      </w:pPr>
      <w:r w:rsidRPr="009F4D93">
        <w:t>2.</w:t>
      </w:r>
      <w:r w:rsidR="00D31383">
        <w:rPr>
          <w:lang w:val="en-US"/>
        </w:rPr>
        <w:t>3</w:t>
      </w:r>
      <w:r w:rsidRPr="009F4D93">
        <w:t>.1.</w:t>
      </w:r>
      <w:r w:rsidR="00835332" w:rsidRPr="009F4D93">
        <w:t>3.1</w:t>
      </w:r>
      <w:r w:rsidRPr="009F4D93">
        <w:t>. Đánh giá tác động</w:t>
      </w:r>
    </w:p>
    <w:p w14:paraId="5DACE41E" w14:textId="6F766F7C" w:rsidR="00A97C72" w:rsidRPr="009F4D93" w:rsidRDefault="009F4D93" w:rsidP="007A3223">
      <w:pPr>
        <w:spacing w:before="120" w:after="120" w:line="340" w:lineRule="exact"/>
        <w:ind w:firstLine="709"/>
        <w:jc w:val="both"/>
        <w:outlineLvl w:val="2"/>
        <w:rPr>
          <w:noProof/>
          <w:color w:val="000000" w:themeColor="text1"/>
          <w:sz w:val="26"/>
          <w:szCs w:val="26"/>
          <w:lang w:val="vi-VN"/>
        </w:rPr>
      </w:pPr>
      <w:r w:rsidRPr="009F4D93">
        <w:rPr>
          <w:b/>
          <w:bCs/>
          <w:i/>
          <w:iCs/>
          <w:noProof/>
          <w:color w:val="000000" w:themeColor="text1"/>
          <w:sz w:val="26"/>
          <w:szCs w:val="26"/>
          <w:lang w:val="vi-VN"/>
        </w:rPr>
        <w:t xml:space="preserve">a) </w:t>
      </w:r>
      <w:r w:rsidR="00A97C72" w:rsidRPr="009F4D93">
        <w:rPr>
          <w:b/>
          <w:bCs/>
          <w:i/>
          <w:iCs/>
          <w:noProof/>
          <w:color w:val="000000" w:themeColor="text1"/>
          <w:sz w:val="26"/>
          <w:szCs w:val="26"/>
          <w:lang w:val="vi-VN"/>
        </w:rPr>
        <w:t xml:space="preserve">Giải pháp 1: Quy định các nguyên tắc chung trong Luật Cạnh tranh và giao Chính phủ quy định chi tiết về thành phần hồ sơ đề nghị hưởng miễn trừ đối với thỏa </w:t>
      </w:r>
      <w:r w:rsidR="00A97C72" w:rsidRPr="009F4D93">
        <w:rPr>
          <w:b/>
          <w:bCs/>
          <w:i/>
          <w:iCs/>
          <w:noProof/>
          <w:color w:val="000000" w:themeColor="text1"/>
          <w:sz w:val="26"/>
          <w:szCs w:val="26"/>
          <w:lang w:val="vi-VN"/>
        </w:rPr>
        <w:lastRenderedPageBreak/>
        <w:t>thuận hạn chế cạnh tranh bị cấm và thành phần hồ sơ thông báo tập trung kinh tế, các hình thức tập trung kinh tế, trình tự, thủ tục, phương thức thực hiện và thời hạn thực hiện thủ tục thông báo tập trung kinh tế nhằm bảo đảm phù hợp với chủ trương cải cách thủ tục hành chính, giảm chi phí tuân thủ cho doanh nghiệp.</w:t>
      </w:r>
      <w:r w:rsidR="00A97C72" w:rsidRPr="009F4D93">
        <w:rPr>
          <w:noProof/>
          <w:color w:val="000000" w:themeColor="text1"/>
          <w:sz w:val="26"/>
          <w:szCs w:val="26"/>
          <w:lang w:val="vi-VN"/>
        </w:rPr>
        <w:t xml:space="preserve"> Cụ thể: </w:t>
      </w:r>
    </w:p>
    <w:p w14:paraId="4CB83847" w14:textId="77777777" w:rsidR="00A97C72" w:rsidRPr="00034921" w:rsidRDefault="00A97C72" w:rsidP="007A3223">
      <w:pPr>
        <w:pStyle w:val="ListParagraph"/>
        <w:numPr>
          <w:ilvl w:val="0"/>
          <w:numId w:val="8"/>
        </w:numPr>
        <w:tabs>
          <w:tab w:val="left" w:pos="851"/>
        </w:tabs>
        <w:spacing w:before="120" w:after="120" w:line="340" w:lineRule="exact"/>
        <w:ind w:left="0" w:firstLine="567"/>
        <w:jc w:val="both"/>
        <w:rPr>
          <w:rFonts w:ascii="Times New Roman" w:eastAsia="Times New Roman" w:hAnsi="Times New Roman"/>
          <w:i/>
          <w:iCs/>
          <w:noProof/>
          <w:color w:val="000000" w:themeColor="text1"/>
          <w:sz w:val="26"/>
          <w:szCs w:val="26"/>
          <w:lang w:val="vi-VN"/>
        </w:rPr>
      </w:pPr>
      <w:r w:rsidRPr="00034921">
        <w:rPr>
          <w:rFonts w:ascii="Times New Roman" w:eastAsia="Times New Roman" w:hAnsi="Times New Roman"/>
          <w:i/>
          <w:iCs/>
          <w:noProof/>
          <w:color w:val="000000" w:themeColor="text1"/>
          <w:sz w:val="26"/>
          <w:szCs w:val="26"/>
          <w:lang w:val="vi-VN"/>
        </w:rPr>
        <w:t xml:space="preserve">Rà soát, sửa đổi, bổ sung quy định tại khoản 2 Điều 15 Luật Cạnh tranh và bổ sung quy định tại Điều 18 Luật Cạnh tranh theo hướng giao Chính phủ quy định chi tiết về thành phần hồ sơ đề nghị hưởng miễn trừ và thành phần hồ sơ tham vấn trong quá trình xem xét hồ sơ đề nghị hưởng miễn trừ đối với thỏa thuận hạn chế cạnh tranh; </w:t>
      </w:r>
    </w:p>
    <w:p w14:paraId="5253CC6A" w14:textId="77777777" w:rsidR="00A97C72" w:rsidRPr="00034921" w:rsidRDefault="00A97C72" w:rsidP="007A3223">
      <w:pPr>
        <w:pStyle w:val="ListParagraph"/>
        <w:numPr>
          <w:ilvl w:val="0"/>
          <w:numId w:val="8"/>
        </w:numPr>
        <w:tabs>
          <w:tab w:val="left" w:pos="851"/>
        </w:tabs>
        <w:spacing w:before="120" w:after="120" w:line="340" w:lineRule="exact"/>
        <w:ind w:left="0" w:firstLine="567"/>
        <w:jc w:val="both"/>
        <w:rPr>
          <w:rFonts w:ascii="Times New Roman" w:eastAsia="Times New Roman" w:hAnsi="Times New Roman"/>
          <w:i/>
          <w:iCs/>
          <w:noProof/>
          <w:color w:val="000000" w:themeColor="text1"/>
          <w:sz w:val="26"/>
          <w:szCs w:val="26"/>
          <w:lang w:val="vi-VN"/>
        </w:rPr>
      </w:pPr>
      <w:r w:rsidRPr="00034921">
        <w:rPr>
          <w:rFonts w:ascii="Times New Roman" w:eastAsia="Times New Roman" w:hAnsi="Times New Roman"/>
          <w:i/>
          <w:iCs/>
          <w:noProof/>
          <w:color w:val="000000" w:themeColor="text1"/>
          <w:sz w:val="26"/>
          <w:szCs w:val="26"/>
          <w:lang w:val="vi-VN"/>
        </w:rPr>
        <w:t xml:space="preserve">Rà soát, sửa đổi, bổ sung Điều 29 Luật Cạnh tranh theo hướng giao Chính phủ quy định chi tiết các hình thức tập trung kinh tế, làm cơ sở để Chính phủ rà soát sửa đổi, bổ sung Nghị định số 35/2020/NĐ-CP nhằm giảm gánh nặng thực hiện thủ tục hành chính cho doanh nghiệp đối với các trường hợp không có khả năng gây tác động hạn chế cạnh tranh đến thị trường Việt Nam, đồng thời kiểm soát các giao dịch tập trung kinh tế có tác động hoặc có khả năng gây tác động hạn chế cạnh tranh đến thị trường Việt Nam; </w:t>
      </w:r>
    </w:p>
    <w:p w14:paraId="73D5E96D" w14:textId="77777777" w:rsidR="00A97C72" w:rsidRPr="00034921" w:rsidRDefault="00A97C72" w:rsidP="007A3223">
      <w:pPr>
        <w:pStyle w:val="ListParagraph"/>
        <w:numPr>
          <w:ilvl w:val="0"/>
          <w:numId w:val="8"/>
        </w:numPr>
        <w:tabs>
          <w:tab w:val="left" w:pos="851"/>
        </w:tabs>
        <w:spacing w:before="120" w:after="120" w:line="340" w:lineRule="exact"/>
        <w:ind w:left="0" w:firstLine="567"/>
        <w:jc w:val="both"/>
        <w:rPr>
          <w:rFonts w:ascii="Times New Roman" w:eastAsia="Times New Roman" w:hAnsi="Times New Roman"/>
          <w:i/>
          <w:iCs/>
          <w:noProof/>
          <w:color w:val="000000" w:themeColor="text1"/>
          <w:sz w:val="26"/>
          <w:szCs w:val="26"/>
          <w:lang w:val="vi-VN"/>
        </w:rPr>
      </w:pPr>
      <w:r w:rsidRPr="00034921">
        <w:rPr>
          <w:rFonts w:ascii="Times New Roman" w:eastAsia="Times New Roman" w:hAnsi="Times New Roman"/>
          <w:i/>
          <w:iCs/>
          <w:noProof/>
          <w:color w:val="000000" w:themeColor="text1"/>
          <w:sz w:val="26"/>
          <w:szCs w:val="26"/>
          <w:lang w:val="vi-VN"/>
        </w:rPr>
        <w:t xml:space="preserve">Rà soát, sửa đổi, bổ sung Điều 34 và Điều 39 Luật Cạnh tranh theo hướng giao Chính phủ quy định chi tiết về hồ sơ thông báo tập trung kinh tế theo hướng đơn giản hóa thành phần hồ sơ thông báo tập trung kinh tế đảm bảo phù hợp với thực tiễn và Nghị quyết số 66.7/2025/NQ-CP và đơn giản hóa thủ tục tham vấn trong quá trình thẩm định tập trung kinh tế để thực hiện Quyết định số 1643/QĐ-TTg; </w:t>
      </w:r>
    </w:p>
    <w:p w14:paraId="70690284" w14:textId="77777777" w:rsidR="00A97C72" w:rsidRPr="00034921" w:rsidRDefault="00A97C72" w:rsidP="007A3223">
      <w:pPr>
        <w:pStyle w:val="ListParagraph"/>
        <w:numPr>
          <w:ilvl w:val="0"/>
          <w:numId w:val="8"/>
        </w:numPr>
        <w:tabs>
          <w:tab w:val="left" w:pos="851"/>
        </w:tabs>
        <w:spacing w:before="120" w:after="120" w:line="340" w:lineRule="exact"/>
        <w:ind w:left="0" w:firstLine="567"/>
        <w:jc w:val="both"/>
        <w:rPr>
          <w:rFonts w:ascii="Times New Roman" w:eastAsia="Times New Roman" w:hAnsi="Times New Roman"/>
          <w:i/>
          <w:iCs/>
          <w:noProof/>
          <w:color w:val="000000" w:themeColor="text1"/>
          <w:sz w:val="26"/>
          <w:szCs w:val="26"/>
          <w:lang w:val="vi-VN"/>
        </w:rPr>
      </w:pPr>
      <w:r w:rsidRPr="00034921">
        <w:rPr>
          <w:rFonts w:ascii="Times New Roman" w:eastAsia="Times New Roman" w:hAnsi="Times New Roman"/>
          <w:i/>
          <w:iCs/>
          <w:noProof/>
          <w:color w:val="000000" w:themeColor="text1"/>
          <w:sz w:val="26"/>
          <w:szCs w:val="26"/>
          <w:lang w:val="vi-VN"/>
        </w:rPr>
        <w:t>Rà soát, bổ sung quy định tại Điều 42 Luật Cạnh tranh theo hướng quy định về thời hạn thực hiện quyết định về việc tập trung kinh tế có điều kiện.</w:t>
      </w:r>
    </w:p>
    <w:p w14:paraId="07926EFA" w14:textId="5D47ABDD" w:rsidR="00A97C72" w:rsidRPr="00034921" w:rsidRDefault="009F4D93" w:rsidP="009F4D93">
      <w:pPr>
        <w:spacing w:before="120" w:after="120" w:line="340" w:lineRule="exact"/>
        <w:ind w:firstLine="709"/>
        <w:rPr>
          <w:b/>
          <w:bCs/>
          <w:i/>
          <w:iCs/>
          <w:noProof/>
          <w:color w:val="000000" w:themeColor="text1"/>
          <w:sz w:val="26"/>
          <w:szCs w:val="26"/>
          <w:lang w:val="vi-VN"/>
        </w:rPr>
      </w:pPr>
      <w:r w:rsidRPr="009F4D93">
        <w:rPr>
          <w:b/>
          <w:bCs/>
          <w:i/>
          <w:iCs/>
          <w:noProof/>
          <w:color w:val="000000" w:themeColor="text1"/>
          <w:sz w:val="26"/>
          <w:szCs w:val="26"/>
          <w:lang w:val="vi-VN"/>
        </w:rPr>
        <w:t xml:space="preserve">- </w:t>
      </w:r>
      <w:r w:rsidR="00A97C72" w:rsidRPr="00034921">
        <w:rPr>
          <w:b/>
          <w:bCs/>
          <w:i/>
          <w:iCs/>
          <w:noProof/>
          <w:color w:val="000000" w:themeColor="text1"/>
          <w:sz w:val="26"/>
          <w:szCs w:val="26"/>
          <w:lang w:val="vi-VN"/>
        </w:rPr>
        <w:t>Tác động đối với hệ thống pháp luật</w:t>
      </w:r>
    </w:p>
    <w:p w14:paraId="17B82B63" w14:textId="77777777" w:rsidR="00A97C72" w:rsidRPr="009F4D93" w:rsidRDefault="00A97C72" w:rsidP="009F4D93">
      <w:pPr>
        <w:spacing w:before="120" w:after="120" w:line="340" w:lineRule="exact"/>
        <w:ind w:firstLine="709"/>
        <w:jc w:val="both"/>
        <w:rPr>
          <w:noProof/>
          <w:color w:val="000000" w:themeColor="text1"/>
          <w:sz w:val="26"/>
          <w:szCs w:val="26"/>
          <w:lang w:val="vi-VN"/>
        </w:rPr>
      </w:pPr>
      <w:r w:rsidRPr="009F4D93">
        <w:rPr>
          <w:noProof/>
          <w:color w:val="000000" w:themeColor="text1"/>
          <w:sz w:val="26"/>
          <w:szCs w:val="26"/>
          <w:lang w:val="vi-VN"/>
        </w:rPr>
        <w:t>Tích cực</w:t>
      </w:r>
    </w:p>
    <w:p w14:paraId="0F654225" w14:textId="77777777" w:rsidR="00A97C72" w:rsidRPr="00034921" w:rsidRDefault="00A97C72" w:rsidP="009F4D9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hợp hiến</w:t>
      </w:r>
    </w:p>
    <w:p w14:paraId="3AA73C5D"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 xml:space="preserve">Điều 70 Hiến pháp quy định Quốc hội quyết định những vấn đề cơ bản, mang tính nguyên tắc của pháp luật. Điều 96 Hiến pháp quy định nhiệm vụ của Chính phủ trong việc tổ chức thi hành Hiến pháp, luật, nghị quyết của Quốc hội, pháp lệnh, nghị quyết của Ủy ban thường vụ Quốc hội, lệnh, quyết định của Chủ tịch nước. </w:t>
      </w:r>
    </w:p>
    <w:p w14:paraId="3CC39B18"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 xml:space="preserve">Việc Luật Cạnh tranh chỉ quy định nguyên tắc và thẩm quyền thực hiện thủ tục miễn trừ đối với thỏa thuận hạn chế cạnh tranh bị cấm, thủ tục thông báo tập trung kinh tế, còn thành phần hồ sơ của thủ tục hành chính và hồ sơ tham vấn trong quá trình thực hiện thủ tục hành chính mang tính kỹ thuật, chi tiết được giao cho Chính phủ quy định chi tiết là phù hợp với kỹ thuật lập pháp hiện đại, đảm bảo tính linh hoạt, khả thi trong tổ chức thực hiện, đồng thời, không làm phát sinh hay hạn chế quyền, nghĩa vụ cơ bản của doanh nghiệp so với luật, phù hợp với nguyên tắc lập pháp được quy định tại Hiến pháp. </w:t>
      </w:r>
    </w:p>
    <w:p w14:paraId="3721C35B"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tính hợp pháp, tính thống nhất với hệ thống pháp luật:</w:t>
      </w:r>
    </w:p>
    <w:p w14:paraId="25505985"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lastRenderedPageBreak/>
        <w:t>Giải pháp 1 bảo đảm phù hợp với thẩm quyền ban hành văn bản theo Luật Ban hành văn bản quy phạm pháp luật, khi giao Chính phủ quy định chi tiết các nội dung mang tính kỹ thuật, chi tiết; đồng thời không mâu thuẫn, chồng chéo với các quy định của pháp luật về doanh nghiệp, đăng ký kinh doanh, cải cách thủ tục hành chính và chuyển đổi số trong hoạt động của cơ quan nhà nước. Việc giảm yêu cầu hồ sơ giấy, tăng cường sử dụng dữ liệu điện tử và trục liên thông văn bản quốc gia góp phần bảo đảm tính thống nhất, đồng bộ của hệ thống pháp luật, phù hợp với chủ trương đơn giản hóa thủ tục hành chính, nâng cao hiệu quả quản lý nhà nước và tạo thuận lợi cho doanh nghiệp trong việc tiếp cận cơ chế miễn trừ đối với thỏa thuận hạn chế cạnh tranh và thông báo tập trung kinh tế theo Luật Cạnh tranh.</w:t>
      </w:r>
    </w:p>
    <w:p w14:paraId="16870688"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tương thích với các điều ước quốc tế có liên quan mà nước Cộng hòa xã hội chủ nghĩa Việt Nam là thành viên: </w:t>
      </w:r>
    </w:p>
    <w:p w14:paraId="55124042"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 xml:space="preserve">Giải pháp 1 không làm phát sinh nghĩa vụ quốc tế mới, không hạn chế hay ảnh hưởng đến việc thực hiện các cam kết quốc tế của Việt Nam trong lĩnh vực cạnh tranh, thương mại và đầu tư, không trái với các điều ước quốc tế mà nước Cộng hòa xã hội chủ nghĩa Việt Nam là thành viên. </w:t>
      </w:r>
    </w:p>
    <w:p w14:paraId="38380E4D" w14:textId="77777777" w:rsidR="00A97C72" w:rsidRPr="009F4D93" w:rsidRDefault="00A97C72" w:rsidP="009F4D93">
      <w:pPr>
        <w:spacing w:before="120" w:after="120" w:line="340" w:lineRule="exact"/>
        <w:ind w:firstLine="567"/>
        <w:jc w:val="both"/>
        <w:rPr>
          <w:noProof/>
          <w:color w:val="000000" w:themeColor="text1"/>
          <w:sz w:val="26"/>
          <w:szCs w:val="26"/>
          <w:lang w:val="vi-VN"/>
        </w:rPr>
      </w:pPr>
      <w:r w:rsidRPr="009F4D93">
        <w:rPr>
          <w:noProof/>
          <w:color w:val="000000" w:themeColor="text1"/>
          <w:sz w:val="26"/>
          <w:szCs w:val="26"/>
          <w:lang w:val="vi-VN"/>
        </w:rPr>
        <w:t>Tiêu cực</w:t>
      </w:r>
    </w:p>
    <w:p w14:paraId="59897025"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hợp hiến: </w:t>
      </w:r>
    </w:p>
    <w:p w14:paraId="08A022EC"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Không có tác động tiêu cực về tính hợp hiến.</w:t>
      </w:r>
    </w:p>
    <w:p w14:paraId="0268654B"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hợp pháp, tính thống nhất với hệ thống pháp luật: </w:t>
      </w:r>
    </w:p>
    <w:p w14:paraId="7A02B281"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Mặc dù Giải pháp 1 được thiết kế theo hướng quy định nguyên tắc trong Luật và giao Chính phủ quy định chi tiết nhằm tăng tính linh hoạt và đơn giản hóa thủ tục hành chính, tuy nhiên, việc sửa đổi, bổ sung các quy định của Luật Cạnh tranh theo hướng nêu trên tất yếu dẫn đến yêu cầu phải sửa đổi, bổ sung Nghị định số 35/2020/NĐ-CP của Chính phủ quy định chi tiết một số điều của Luật Cạnh tranh, do đó, có thể tạo ra khoảng trống hoặc sự thiếu đồng bộ trong giai đoạn chuyển tiếp nếu tiến độ ban hành văn bản dưới luật không kịp thời.</w:t>
      </w:r>
    </w:p>
    <w:p w14:paraId="5486EAE9" w14:textId="77777777" w:rsidR="00A97C72" w:rsidRPr="00034921" w:rsidRDefault="00A97C72" w:rsidP="00034921">
      <w:pPr>
        <w:pStyle w:val="ListParagraph"/>
        <w:spacing w:before="120" w:after="120" w:line="340" w:lineRule="exact"/>
        <w:ind w:left="0" w:firstLine="567"/>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tương thích với các điều ước quốc tế có liên quan mà nước Cộng hòa xã hội chủ nghĩa Việt Nam là thành viên: </w:t>
      </w:r>
    </w:p>
    <w:p w14:paraId="56EEDAB7"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Qua rà soát, không có điều ước quốc tế nào mà nước Cộng hòa xã hội chủ nghĩa Việt Nam là thành viên có quy định trực tiếp về thành phần hồ sơ đề nghị hưởng miễn trừ đối với thỏa thuận hạn chế cạnh tranh bị cấm, hồ sơ tham vấn trong quá trình xem xét hồ sơ đề nghị hưởng miễn trừ đối với thỏa thuận hạn chế cạnh tranh bị cấm, các hình thức tập trung kinh tế, hồ sơ thông báo tập trung kinh tế, hồ sơ tham vấn trong quá trình thẩm định việc tập trung kinh tế hay thời hạn thực hiện quyết định về việc tập trung kinh tế có điều kiện. Do đó, việc quy định mang tính định khung, nguyên tắc chung và giao Chính phủ quy định chi tiết các nội dung nêu trên không tác động tiêu cực đến tính tương thích với các điều ước quốc tế có liên quan mà nước Cộng hòa xã hội chủ nghĩa Việt Nam là thành viên.</w:t>
      </w:r>
    </w:p>
    <w:p w14:paraId="244971CE" w14:textId="65508266" w:rsidR="00A97C72" w:rsidRPr="00034921" w:rsidRDefault="009F4D93" w:rsidP="00034921">
      <w:pPr>
        <w:spacing w:before="120" w:after="120" w:line="340" w:lineRule="exact"/>
        <w:ind w:firstLine="567"/>
        <w:rPr>
          <w:b/>
          <w:bCs/>
          <w:i/>
          <w:iCs/>
          <w:noProof/>
          <w:color w:val="000000" w:themeColor="text1"/>
          <w:sz w:val="26"/>
          <w:szCs w:val="26"/>
          <w:lang w:val="vi-VN"/>
        </w:rPr>
      </w:pPr>
      <w:r w:rsidRPr="009F4D93">
        <w:rPr>
          <w:b/>
          <w:bCs/>
          <w:i/>
          <w:iCs/>
          <w:noProof/>
          <w:color w:val="000000" w:themeColor="text1"/>
          <w:sz w:val="26"/>
          <w:szCs w:val="26"/>
          <w:lang w:val="vi-VN"/>
        </w:rPr>
        <w:lastRenderedPageBreak/>
        <w:t xml:space="preserve">- </w:t>
      </w:r>
      <w:r w:rsidR="00A97C72" w:rsidRPr="00034921">
        <w:rPr>
          <w:b/>
          <w:bCs/>
          <w:i/>
          <w:iCs/>
          <w:noProof/>
          <w:color w:val="000000" w:themeColor="text1"/>
          <w:sz w:val="26"/>
          <w:szCs w:val="26"/>
          <w:lang w:val="vi-VN"/>
        </w:rPr>
        <w:t xml:space="preserve">Tác động về kinh tế - xã hội: </w:t>
      </w:r>
    </w:p>
    <w:p w14:paraId="309F9EB7" w14:textId="77777777" w:rsidR="00A97C72" w:rsidRPr="009F4D93" w:rsidRDefault="00A97C72" w:rsidP="009F4D93">
      <w:pPr>
        <w:spacing w:before="120" w:after="120" w:line="340" w:lineRule="exact"/>
        <w:ind w:firstLine="567"/>
        <w:jc w:val="both"/>
        <w:rPr>
          <w:noProof/>
          <w:color w:val="000000" w:themeColor="text1"/>
          <w:sz w:val="26"/>
          <w:szCs w:val="26"/>
          <w:lang w:val="vi-VN"/>
        </w:rPr>
      </w:pPr>
      <w:r w:rsidRPr="009F4D93">
        <w:rPr>
          <w:noProof/>
          <w:color w:val="000000" w:themeColor="text1"/>
          <w:sz w:val="26"/>
          <w:szCs w:val="26"/>
          <w:lang w:val="vi-VN"/>
        </w:rPr>
        <w:t xml:space="preserve">Tích cực: </w:t>
      </w:r>
    </w:p>
    <w:p w14:paraId="769892C4"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Việc quy định các nguyên tắc chung trong Luật Cạnh tranh và giao Chính phủ quy định chi tiết về thành phần hồ sơ đề nghị hưởng miễn trừ đối với thỏa thuận hạn chế cạnh tranh bị cấm có thể tác động tích cực đối với cơ quan nhà nước và doanh nghiệp, cụ thể:</w:t>
      </w:r>
    </w:p>
    <w:p w14:paraId="5643638F" w14:textId="77777777" w:rsidR="00A97C72" w:rsidRPr="00034921" w:rsidRDefault="00A97C72" w:rsidP="00034921">
      <w:pPr>
        <w:spacing w:before="120" w:after="120" w:line="340" w:lineRule="exact"/>
        <w:ind w:firstLine="567"/>
        <w:jc w:val="both"/>
        <w:rPr>
          <w:i/>
          <w:iCs/>
          <w:noProof/>
          <w:color w:val="000000" w:themeColor="text1"/>
          <w:sz w:val="26"/>
          <w:szCs w:val="26"/>
          <w:lang w:val="vi-VN"/>
        </w:rPr>
      </w:pPr>
      <w:r w:rsidRPr="00034921">
        <w:rPr>
          <w:i/>
          <w:iCs/>
          <w:noProof/>
          <w:color w:val="000000" w:themeColor="text1"/>
          <w:sz w:val="26"/>
          <w:szCs w:val="26"/>
          <w:lang w:val="vi-VN"/>
        </w:rPr>
        <w:t>+ Đối với cơ quan nhà nước:</w:t>
      </w:r>
    </w:p>
    <w:p w14:paraId="724F569D"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Việc quy định các nguyên tắc chung trong luật và giao Chính phủ quy định chi tiết về hồ sơ đề nghị hưởng miễn trừ, cũng như hồ sơ tham vấn trong quá trình xem xét đề nghị hưởng miễn trừ đối với thỏa thuận hạn chế cạnh tranh, tạo điều kiện nâng cao hiệu quả quản lý nhà nước trong lĩnh vực cạnh tranh. Cách tiếp cận này cho phép cơ quan quản lý linh hoạt điều chỉnh thành phần hồ sơ, yêu cầu thông tin và quy trình xử lý phù hợp với tính chất của thỏa thuận hạn chế cạnh tranh và thực tiễn phát sinh, qua đó giảm tải khối lượng hồ sơ không cần thiết, tập trung nguồn lực vào các nội dung đánh giá trọng tâm. Đồng thời, việc chuẩn hóa hồ sơ và quy trình ở cấp nghị định giúp rút ngắn thời gian xử lý, nâng cao tính nhất quán trong áp dụng pháp luật và giảm chi phí hành chính cho cơ quan thực thi, góp phần cải thiện hiệu quả hoạt động và chất lượng ra quyết định của cơ quan cạnh tranh.</w:t>
      </w:r>
    </w:p>
    <w:p w14:paraId="68BAB3ED"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Bên cạnh đó, cơ chế này tạo điều kiện thuận lợi cho việc cải cách thủ tục hành chính theo hướng hiện đại, phù hợp với yêu cầu chuyển đổi số trong quản lý nhà nước, tăng khả năng áp dụng các hình thức nộp hồ sơ điện tử, chia sẻ dữ liệu và phối hợp liên thông giữa các cơ quan có liên quan. Việc giảm bớt các yêu cầu hồ sơ mang tính hình thức cũng góp phần nâng cao tính minh bạch, trách nhiệm giải trình và uy tín của cơ quan quản lý trong quá trình xem xét miễn trừ thỏa thuận hạn chế cạnh tranh.</w:t>
      </w:r>
    </w:p>
    <w:p w14:paraId="5D9584B4" w14:textId="77777777" w:rsidR="00A97C72" w:rsidRPr="00034921" w:rsidRDefault="00A97C72" w:rsidP="00034921">
      <w:pPr>
        <w:spacing w:before="120" w:after="120" w:line="340" w:lineRule="exact"/>
        <w:ind w:firstLine="567"/>
        <w:jc w:val="both"/>
        <w:rPr>
          <w:i/>
          <w:iCs/>
          <w:noProof/>
          <w:color w:val="000000" w:themeColor="text1"/>
          <w:sz w:val="26"/>
          <w:szCs w:val="26"/>
          <w:lang w:val="vi-VN"/>
        </w:rPr>
      </w:pPr>
      <w:r w:rsidRPr="00034921">
        <w:rPr>
          <w:i/>
          <w:iCs/>
          <w:noProof/>
          <w:color w:val="000000" w:themeColor="text1"/>
          <w:sz w:val="26"/>
          <w:szCs w:val="26"/>
          <w:lang w:val="vi-VN"/>
        </w:rPr>
        <w:t>+ Đối với doanh nghiệp:</w:t>
      </w:r>
    </w:p>
    <w:p w14:paraId="4C10E606"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Đối với doanh nghiệp, việc giao Chính phủ quy định chi tiết về hồ sơ đề nghị hưởng miễn trừ và hồ sơ tham vấn giúp đơn giản hóa và làm rõ yêu cầu tuân thủ pháp luật, qua đó giảm chi phí hành chính, chi phí pháp lý và thời gian chuẩn bị hồ sơ. Doanh nghiệp có thể tiếp cận sớm cơ chế tham vấn, trao đổi với cơ quan cạnh tranh để làm rõ tính hợp pháp và khả năng được hưởng miễn trừ của thỏa thuận dự kiến, từ đó hạn chế rủi ro pháp lý và tránh các chi phí phát sinh do phải điều chỉnh hoặc hủy bỏ thỏa thuận sau khi đã triển khai.</w:t>
      </w:r>
    </w:p>
    <w:p w14:paraId="3F555EF4"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 xml:space="preserve">Ngoài ra, việc quy định linh hoạt ở cấp nghị định cho phép cập nhật kịp thời các yêu cầu hồ sơ phù hợp với thực tiễn thị trường và đặc thù của từng lĩnh vực, tạo điều kiện cho doanh nghiệp chủ động xây dựng và thực hiện các thỏa thuận hợp tác hợp pháp, góp phần nâng cao hiệu quả sản xuất, kinh doanh và khả năng cạnh tranh. Trong dài hạn, cơ chế miễn trừ rõ ràng, minh bạch và dễ tiếp cận giúp củng cố niềm tin của doanh nghiệp vào môi trường pháp lý, khuyến khích các hoạt động hợp tác, liên kết nhằm tối </w:t>
      </w:r>
      <w:r w:rsidRPr="00034921">
        <w:rPr>
          <w:noProof/>
          <w:color w:val="000000" w:themeColor="text1"/>
          <w:sz w:val="26"/>
          <w:szCs w:val="26"/>
          <w:lang w:val="vi-VN"/>
        </w:rPr>
        <w:lastRenderedPageBreak/>
        <w:t>ưu hóa nguồn lực, thúc đẩy đổi mới sáng tạo và đóng góp tích cực vào tăng trưởng kinh tế và phúc lợi xã hội.</w:t>
      </w:r>
    </w:p>
    <w:p w14:paraId="49288A43" w14:textId="77777777" w:rsidR="00A97C72" w:rsidRPr="00034921" w:rsidRDefault="00A97C72" w:rsidP="00034921">
      <w:pPr>
        <w:spacing w:before="120" w:after="120" w:line="340" w:lineRule="exact"/>
        <w:ind w:firstLine="567"/>
        <w:jc w:val="both"/>
        <w:rPr>
          <w:noProof/>
          <w:color w:val="000000" w:themeColor="text1"/>
          <w:sz w:val="26"/>
          <w:szCs w:val="26"/>
          <w:lang w:val="vi-VN"/>
        </w:rPr>
      </w:pPr>
      <w:r w:rsidRPr="00034921">
        <w:rPr>
          <w:noProof/>
          <w:color w:val="000000" w:themeColor="text1"/>
          <w:sz w:val="26"/>
          <w:szCs w:val="26"/>
          <w:lang w:val="vi-VN"/>
        </w:rPr>
        <w:t xml:space="preserve">Bên cạnh đó, việc quy định nguyên tắc trong luật và giao Chính phủ quy định chi tiết về các hình thức tập trung kinh tế; thành phần hồ sơ thông báo tập trung kinh tế, hồ sơ tham vấn trong quá trình thẩm định việc tập trung kinh tế; bổ sung quy định về thời hạn thực hiện quyết định tập trung kinh tế có điều kiện cũng có tác động tích cực đối với cơ quan nhà nước và các doanh nghiệp sản xuất, kinh doanh. Cụ thể: </w:t>
      </w:r>
    </w:p>
    <w:p w14:paraId="334CFB17" w14:textId="77777777" w:rsidR="00A97C72" w:rsidRPr="00034921" w:rsidRDefault="00A97C72" w:rsidP="00034921">
      <w:pPr>
        <w:spacing w:before="120" w:after="120" w:line="340" w:lineRule="exact"/>
        <w:ind w:firstLine="567"/>
        <w:rPr>
          <w:i/>
          <w:iCs/>
          <w:noProof/>
          <w:color w:val="000000" w:themeColor="text1"/>
          <w:sz w:val="26"/>
          <w:szCs w:val="26"/>
          <w:lang w:val="vi-VN"/>
        </w:rPr>
      </w:pPr>
      <w:r w:rsidRPr="00034921">
        <w:rPr>
          <w:i/>
          <w:iCs/>
          <w:noProof/>
          <w:color w:val="000000" w:themeColor="text1"/>
          <w:sz w:val="26"/>
          <w:szCs w:val="26"/>
          <w:lang w:val="vi-VN"/>
        </w:rPr>
        <w:t xml:space="preserve">+ Đối với cơ quan nhà nước: </w:t>
      </w:r>
    </w:p>
    <w:p w14:paraId="2B497786" w14:textId="77777777" w:rsidR="00A97C72" w:rsidRPr="00034921" w:rsidRDefault="00A97C72" w:rsidP="00034921">
      <w:pPr>
        <w:spacing w:before="120" w:after="120" w:line="340" w:lineRule="exact"/>
        <w:ind w:firstLine="567"/>
        <w:jc w:val="both"/>
        <w:rPr>
          <w:iCs/>
          <w:noProof/>
          <w:color w:val="000000" w:themeColor="text1"/>
          <w:sz w:val="26"/>
          <w:szCs w:val="26"/>
          <w:lang w:val="vi-VN"/>
        </w:rPr>
      </w:pPr>
      <w:r w:rsidRPr="00034921">
        <w:rPr>
          <w:iCs/>
          <w:noProof/>
          <w:color w:val="000000" w:themeColor="text1"/>
          <w:sz w:val="26"/>
          <w:szCs w:val="26"/>
          <w:lang w:val="vi-VN"/>
        </w:rPr>
        <w:t xml:space="preserve">Việc Chính phủ quy định chi tiết các hình thức tập trung kinh tế tại khoản 1 Điều 2019 Luật Cạnh tranh sẽ xây dựng căn cứ pháp lí rõ ràng đảm bảo hoạt động kiểm soát các giao dịch tập trung kinh tế có tác động hoặc có khả năng gây tác động hạn chế cạnh tranh đến thị trường Việt Nam; đồng thời, như đã nêu trên, số lượng vụ việc thông báo tập trung kinh tế trong đó các bên tham gia tập trung kinh tế là công ty mẹ - công ty con chiếm khoảng 15% tổng số lượng vụ việc thống báo tập trung kinh tế mỗi năm trong giai đoạn từ 2021-2025. Do đó, việc thực hiện Giải pháp 1 giúp cơ quan nhà nước giảm tải nhân lực, thời gian giải quyết thủ tục hành chính đối với các giao dịch không có khả năng gây tác động hạn chế cạnh tranh đến thị trường Việt Nam. Từ đó, cơ quan nhà nước tập trung nguồn lực kiểm soát các giao dịch tập trung kinh tế gây tác động hoặc có khả năng gây tác động hạn chế cạnh tranh đến thị trường Việt Nam. </w:t>
      </w:r>
    </w:p>
    <w:p w14:paraId="3C7B252C" w14:textId="77777777" w:rsidR="00A97C72" w:rsidRPr="00034921" w:rsidRDefault="00A97C72" w:rsidP="00034921">
      <w:pPr>
        <w:widowControl w:val="0"/>
        <w:spacing w:before="120" w:after="120" w:line="340" w:lineRule="exact"/>
        <w:ind w:firstLine="567"/>
        <w:jc w:val="both"/>
        <w:rPr>
          <w:b/>
          <w:iCs/>
          <w:noProof/>
          <w:color w:val="000000" w:themeColor="text1"/>
          <w:sz w:val="26"/>
          <w:szCs w:val="26"/>
          <w:lang w:val="vi-VN"/>
        </w:rPr>
      </w:pPr>
      <w:r w:rsidRPr="00034921">
        <w:rPr>
          <w:bCs/>
          <w:iCs/>
          <w:noProof/>
          <w:color w:val="000000" w:themeColor="text1"/>
          <w:sz w:val="26"/>
          <w:szCs w:val="26"/>
          <w:lang w:val="vi-VN"/>
        </w:rPr>
        <w:t xml:space="preserve">Việc đơn giản hóa thành phần hồ sơ thông báo tập trung kinh tế đối với các thành phần hồ sơ được thay thế bằng việc sử dụng thông tin trong cơ sở dữ liệu sẽ thúc đẩy việc xây dựng cơ sở dữ liệu của cơ quan nhà nước. </w:t>
      </w:r>
    </w:p>
    <w:p w14:paraId="5B4DEC7D" w14:textId="77777777" w:rsidR="00A97C72" w:rsidRPr="00034921" w:rsidRDefault="00A97C72" w:rsidP="00034921">
      <w:pPr>
        <w:widowControl w:val="0"/>
        <w:spacing w:before="120" w:after="120" w:line="340" w:lineRule="exact"/>
        <w:ind w:firstLine="567"/>
        <w:jc w:val="both"/>
        <w:rPr>
          <w:bCs/>
          <w:noProof/>
          <w:color w:val="000000" w:themeColor="text1"/>
          <w:sz w:val="26"/>
          <w:szCs w:val="26"/>
          <w:lang w:val="vi-VN"/>
        </w:rPr>
      </w:pPr>
      <w:r w:rsidRPr="00034921">
        <w:rPr>
          <w:bCs/>
          <w:noProof/>
          <w:color w:val="000000" w:themeColor="text1"/>
          <w:sz w:val="26"/>
          <w:szCs w:val="26"/>
          <w:lang w:val="vi-VN"/>
        </w:rPr>
        <w:t>Việc đơn giản hóa thủ tục tham vấn trong quá trình thẩm định hồ sơ thông báo tập trung kinh tế và thủ tục tham vấn trong quá trình xem xét hồ sơ đề nghị hưởng miễn trừ đối với thỏa thuận hạn chế cạnh tranh bị cấm giúp cơ quan nhà nước có căn cứ pháp lí rõ ràng về cách thức thực hiện (qua bưu điện, trực tuyến hoặc Trục liên thông văn bản quốc gia) và thành phần hồ sơ, số lượng hồ sơ khi tham vấn.</w:t>
      </w:r>
    </w:p>
    <w:p w14:paraId="577659A4" w14:textId="77777777" w:rsidR="00A97C72" w:rsidRPr="00034921" w:rsidRDefault="00A97C72" w:rsidP="00034921">
      <w:pPr>
        <w:spacing w:before="120" w:after="120" w:line="340" w:lineRule="exact"/>
        <w:ind w:firstLine="567"/>
        <w:jc w:val="both"/>
        <w:rPr>
          <w:i/>
          <w:iCs/>
          <w:noProof/>
          <w:color w:val="000000" w:themeColor="text1"/>
          <w:sz w:val="26"/>
          <w:szCs w:val="26"/>
          <w:lang w:val="vi-VN"/>
        </w:rPr>
      </w:pPr>
      <w:r w:rsidRPr="00034921">
        <w:rPr>
          <w:i/>
          <w:iCs/>
          <w:noProof/>
          <w:color w:val="000000" w:themeColor="text1"/>
          <w:sz w:val="26"/>
          <w:szCs w:val="26"/>
          <w:lang w:val="vi-VN"/>
        </w:rPr>
        <w:t>+ Đối với doanh nghiệp sản xuất, kinh doanh:</w:t>
      </w:r>
    </w:p>
    <w:p w14:paraId="7259C76F" w14:textId="77777777" w:rsidR="00A97C72" w:rsidRPr="00034921" w:rsidRDefault="00A97C72" w:rsidP="00034921">
      <w:pPr>
        <w:widowControl w:val="0"/>
        <w:spacing w:before="120" w:after="120" w:line="340" w:lineRule="exact"/>
        <w:ind w:firstLine="567"/>
        <w:jc w:val="both"/>
        <w:rPr>
          <w:iCs/>
          <w:noProof/>
          <w:color w:val="000000" w:themeColor="text1"/>
          <w:sz w:val="26"/>
          <w:szCs w:val="26"/>
          <w:lang w:val="vi-VN"/>
        </w:rPr>
      </w:pPr>
      <w:r w:rsidRPr="00034921">
        <w:rPr>
          <w:iCs/>
          <w:noProof/>
          <w:color w:val="000000" w:themeColor="text1"/>
          <w:sz w:val="26"/>
          <w:szCs w:val="26"/>
          <w:lang w:val="vi-VN"/>
        </w:rPr>
        <w:t xml:space="preserve">Việc giao Chính phủ quy định chi tiết về các hình thức tập trung kinh tế tại khoản 1 Điều 29 Luật Cạnh tranh giúp đảm bảo tính rõ ràng, dễ hiểu, khả thi về hình thức tập trung kinh tế. Từ đó, các doanh nghiệp có căn cứ rõ ràng trong việc xác định nghĩa vụ thông báo tập trung kinh tế, hạn chế vi phạm quy định về không thông báo tập trung kinh tế đối với các giao dịch thuộc trường hợp phải thông báo. </w:t>
      </w:r>
    </w:p>
    <w:p w14:paraId="7944EBE0" w14:textId="77777777" w:rsidR="00A97C72" w:rsidRPr="00034921" w:rsidRDefault="00A97C72" w:rsidP="009F4D93">
      <w:pPr>
        <w:widowControl w:val="0"/>
        <w:spacing w:before="120" w:after="120" w:line="340" w:lineRule="exact"/>
        <w:ind w:firstLine="567"/>
        <w:jc w:val="both"/>
        <w:rPr>
          <w:iCs/>
          <w:noProof/>
          <w:color w:val="000000" w:themeColor="text1"/>
          <w:sz w:val="26"/>
          <w:szCs w:val="26"/>
          <w:lang w:val="vi-VN"/>
        </w:rPr>
      </w:pPr>
      <w:r w:rsidRPr="00034921">
        <w:rPr>
          <w:iCs/>
          <w:noProof/>
          <w:color w:val="000000" w:themeColor="text1"/>
          <w:sz w:val="26"/>
          <w:szCs w:val="26"/>
          <w:lang w:val="vi-VN"/>
        </w:rPr>
        <w:t xml:space="preserve">Đồng thời, thực hiện Giải pháp 1 sẽ giúp giảm gánh nặng thủ tục thông báo tập trung kinh tế đối với các giao dịch không gây tác động và không có khả năng gây tác động hạn chế cạnh tranh đến thị trường Việt Nam. Theo đó, theo số liệu UBCTQG thống kê, số lượng vụ việc thông báo tập trung kinh tế trong đó các bên tham gia tập trung kinh tế là công ty mẹ - công ty con chiếm khoảng 15% tổng số lượng vụ việc thống báo tập trung kinh tế mỗi năm trong giai đoạn từ 2021-2025. Các giao dịch này không làm </w:t>
      </w:r>
      <w:r w:rsidRPr="00034921">
        <w:rPr>
          <w:iCs/>
          <w:noProof/>
          <w:color w:val="000000" w:themeColor="text1"/>
          <w:sz w:val="26"/>
          <w:szCs w:val="26"/>
          <w:lang w:val="vi-VN"/>
        </w:rPr>
        <w:lastRenderedPageBreak/>
        <w:t xml:space="preserve">thay đổi quyền kiểm soát đối với doanh nghiệp bị mua lại (trong trường hợp mua lại doanh nghiệp) và không làm thay đổi cấu trúc thị trường và mức độ tập trung trên từng thị trường liên quan nên biên độ tăng của tổng bình phương mức thị phần của các doanh nghiệp trên từng thị trường liên quan trước và sau tập trung kinh tế (chỉ số ΔHHI) luôn bằng 0. Do đó, việc thực hiện Giải pháp 1 giúp giảm gánh nặng thủ tục hành chính, chi phí tuân thủ cho doanh nghiệp mà không làm ảnh hưởng đến hiệu lực, hiệu quả của công tác kiểm soát tập trung kinh tế. </w:t>
      </w:r>
    </w:p>
    <w:p w14:paraId="6419E8A2" w14:textId="77777777" w:rsidR="00A97C72" w:rsidRPr="00034921" w:rsidRDefault="00A97C72" w:rsidP="009F4D93">
      <w:pPr>
        <w:spacing w:before="120" w:after="120" w:line="340" w:lineRule="exact"/>
        <w:ind w:firstLine="567"/>
        <w:jc w:val="both"/>
        <w:rPr>
          <w:iCs/>
          <w:noProof/>
          <w:color w:val="000000" w:themeColor="text1"/>
          <w:sz w:val="26"/>
          <w:szCs w:val="26"/>
          <w:lang w:val="vi-VN"/>
        </w:rPr>
      </w:pPr>
      <w:r w:rsidRPr="00034921">
        <w:rPr>
          <w:iCs/>
          <w:noProof/>
          <w:color w:val="000000" w:themeColor="text1"/>
          <w:sz w:val="26"/>
          <w:szCs w:val="26"/>
          <w:lang w:val="vi-VN"/>
        </w:rPr>
        <w:t xml:space="preserve">Việc đơn giản hóa thành phần hồ sơ thông báo tập trung kinh tế giúp doanh nghiệp giảm chi phí và thời gian khi thực hiện thủ tục hành chính. Đồng thời, giải quyết khó khăn, vướng mắc cho các doanh nghiệp thực hiện các giao dịch chào mua công khai. </w:t>
      </w:r>
    </w:p>
    <w:p w14:paraId="50FE7D38" w14:textId="77777777" w:rsidR="00A97C72" w:rsidRPr="009F4D93" w:rsidRDefault="00A97C72" w:rsidP="009F4D93">
      <w:pPr>
        <w:widowControl w:val="0"/>
        <w:spacing w:before="120" w:after="120" w:line="340" w:lineRule="exact"/>
        <w:ind w:firstLine="567"/>
        <w:jc w:val="both"/>
        <w:rPr>
          <w:iCs/>
          <w:noProof/>
          <w:color w:val="000000" w:themeColor="text1"/>
          <w:spacing w:val="-2"/>
          <w:sz w:val="26"/>
          <w:szCs w:val="26"/>
          <w:lang w:val="vi-VN"/>
        </w:rPr>
      </w:pPr>
      <w:r w:rsidRPr="009F4D93">
        <w:rPr>
          <w:iCs/>
          <w:noProof/>
          <w:color w:val="000000" w:themeColor="text1"/>
          <w:spacing w:val="-2"/>
          <w:sz w:val="26"/>
          <w:szCs w:val="26"/>
          <w:lang w:val="vi-VN"/>
        </w:rPr>
        <w:t>Việc bổ sung quy định về thời hạn thực hiện các điều kiện tại quyết định về việc tập trung kinh tế có điều kiện giúp cho doanh nghiệp không rơi vào trường hợp khi bối cảnh đã thay đổi, việc áp dụng các điều kiện này không còn phù hợp, doanh nghiệp vẫn phải thực hiện. Đồng thời, thời hạn cụ thể đối với từng giao dịch sẽ do Ủy ban Cạnh tranh Quốc gia quyết định tại Quyết định về việc tập trung kinh tế có điều kiện để đảm bảo phù hợp với điều kiện của các giao dịch trong những ngành, lĩnh vực khác nhau, cụ thể:</w:t>
      </w:r>
    </w:p>
    <w:p w14:paraId="4E16BC89" w14:textId="77777777" w:rsidR="00A97C72" w:rsidRPr="00034921" w:rsidRDefault="00A97C72" w:rsidP="00034921">
      <w:pPr>
        <w:spacing w:before="120" w:after="120" w:line="340" w:lineRule="exact"/>
        <w:ind w:firstLine="720"/>
        <w:jc w:val="both"/>
        <w:rPr>
          <w:noProof/>
          <w:color w:val="000000" w:themeColor="text1"/>
          <w:sz w:val="26"/>
          <w:szCs w:val="26"/>
          <w:lang w:val="vi-VN"/>
        </w:rPr>
      </w:pPr>
      <w:r w:rsidRPr="00034921">
        <w:rPr>
          <w:noProof/>
          <w:color w:val="000000" w:themeColor="text1"/>
          <w:sz w:val="26"/>
          <w:szCs w:val="26"/>
          <w:lang w:val="vi-VN"/>
        </w:rPr>
        <w:t>Trong các hồ sơ đã tiếp nhận và xử lý trong giai đoạn 2020-2024, bốn (04) lĩnh vực luôn có số lượng giao dịch nhiều nhất chiếm tỉ lệ từ 51% đến 73% trên số vụ việc đã xử lý theo năm là (i) Bất động sản, (ii) Công nghiệp, (iii) Dịch vụ và (iv) năng lượng và khoáng sản.</w:t>
      </w:r>
    </w:p>
    <w:p w14:paraId="099D53D3" w14:textId="643F154C" w:rsidR="007A3223" w:rsidRPr="007A3223" w:rsidRDefault="00A97C72" w:rsidP="009F4D93">
      <w:pPr>
        <w:spacing w:before="120" w:after="120"/>
        <w:jc w:val="center"/>
        <w:rPr>
          <w:b/>
          <w:noProof/>
          <w:color w:val="000000" w:themeColor="text1"/>
          <w:sz w:val="26"/>
          <w:szCs w:val="26"/>
          <w:lang w:val="vi-VN"/>
        </w:rPr>
      </w:pPr>
      <w:r w:rsidRPr="00ED5E38">
        <w:rPr>
          <w:b/>
          <w:noProof/>
          <w:color w:val="000000" w:themeColor="text1"/>
          <w:sz w:val="26"/>
          <w:szCs w:val="26"/>
          <w:lang w:val="vi-VN"/>
        </w:rPr>
        <w:t xml:space="preserve">Biểu đồ 1: Thống kê về lĩnh vực thực hiện giao dịch TTKT </w:t>
      </w:r>
    </w:p>
    <w:p w14:paraId="0B5CE08F" w14:textId="6320DF45" w:rsidR="009F4D93" w:rsidRPr="009F4D93" w:rsidRDefault="007A3223" w:rsidP="009F4D93">
      <w:pPr>
        <w:spacing w:before="120" w:after="120"/>
        <w:jc w:val="center"/>
        <w:rPr>
          <w:b/>
          <w:noProof/>
          <w:color w:val="000000" w:themeColor="text1"/>
          <w:sz w:val="26"/>
          <w:szCs w:val="26"/>
          <w:lang w:val="vi-VN"/>
        </w:rPr>
      </w:pPr>
      <w:r w:rsidRPr="00ED5E38">
        <w:rPr>
          <w:noProof/>
          <w:color w:val="000000" w:themeColor="text1"/>
          <w:sz w:val="26"/>
          <w:szCs w:val="26"/>
        </w:rPr>
        <w:drawing>
          <wp:anchor distT="0" distB="0" distL="114300" distR="114300" simplePos="0" relativeHeight="251661312" behindDoc="0" locked="0" layoutInCell="1" allowOverlap="1" wp14:anchorId="55EE6231" wp14:editId="1A6C6B74">
            <wp:simplePos x="0" y="0"/>
            <wp:positionH relativeFrom="margin">
              <wp:posOffset>-23192</wp:posOffset>
            </wp:positionH>
            <wp:positionV relativeFrom="paragraph">
              <wp:posOffset>258638</wp:posOffset>
            </wp:positionV>
            <wp:extent cx="5784215" cy="2536190"/>
            <wp:effectExtent l="0" t="0" r="6985" b="16510"/>
            <wp:wrapTopAndBottom/>
            <wp:docPr id="77389530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r w:rsidR="00A97C72" w:rsidRPr="00ED5E38">
        <w:rPr>
          <w:b/>
          <w:noProof/>
          <w:color w:val="000000" w:themeColor="text1"/>
          <w:sz w:val="26"/>
          <w:szCs w:val="26"/>
          <w:lang w:val="vi-VN"/>
        </w:rPr>
        <w:t>(giai đoạn 2020-2024)</w:t>
      </w:r>
      <w:r w:rsidR="00A97C72" w:rsidRPr="00ED5E38">
        <w:rPr>
          <w:noProof/>
          <w:color w:val="000000" w:themeColor="text1"/>
          <w:sz w:val="26"/>
          <w:szCs w:val="26"/>
          <w:lang w:val="vi-VN"/>
        </w:rPr>
        <w:t xml:space="preserve"> </w:t>
      </w:r>
    </w:p>
    <w:p w14:paraId="3AED814F" w14:textId="051F8E9E"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 xml:space="preserve">Trong đó, các giao dịch tập trung kinh tế có điều kiện trong giai đoạn từ năm 2020 đến nay thuộc nhiều lĩnh vực khác nhau bao gồm: thương mại điện tử, dược phẩm, vật liệu xây dựng, dịch vụ cho vay tiêu dùng, dịch vụ vận tải hàng hóa theo đường hàng không, nước mắm, dịch vụ vận tải hàng hóa bằng container theo đường biển, thức ăn chăn nuôi, sản phẩm nông nghiệp, hóa chất,…. Các điều kiện đối với mỗi vụ việc nêu trên rất đa dạng và được điều chỉnh phù hợp với từng lĩnh vực cụ thể. Do đó, thời gian </w:t>
      </w:r>
      <w:r w:rsidRPr="00034921">
        <w:rPr>
          <w:iCs/>
          <w:noProof/>
          <w:color w:val="000000" w:themeColor="text1"/>
          <w:sz w:val="26"/>
          <w:szCs w:val="26"/>
          <w:lang w:val="vi-VN"/>
        </w:rPr>
        <w:lastRenderedPageBreak/>
        <w:t xml:space="preserve">thực hiện các điều kiện với từng vụ việc cần được xem xét trên cơ sở phù hợp với đặc thù của hoạt động kinh doanh trong từng ngành, lĩnh vực. </w:t>
      </w:r>
    </w:p>
    <w:p w14:paraId="4486793C"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Tiêu cực: </w:t>
      </w:r>
    </w:p>
    <w:p w14:paraId="75E5BBD9"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 xml:space="preserve">Mặc dù Giải pháp 1 được thiết kế nhằm đơn giản hóa thủ tục hành chính và giảm chi phí tuân thủ quy định về thủ tục hành chính trong lĩnh vực cạnh tranh, tuy nhiên, Giải pháp này vẫn có thể phát sinh một số tác động tiêu cực nhất định về kinh tế – xã hội, đặc biệt ở giai đoạn đầu triển khai, cụ thể: </w:t>
      </w:r>
    </w:p>
    <w:p w14:paraId="096477DC" w14:textId="77777777" w:rsidR="00A97C72" w:rsidRPr="00034921" w:rsidRDefault="00A97C72" w:rsidP="00D31383">
      <w:pPr>
        <w:spacing w:before="120" w:after="120" w:line="340" w:lineRule="exact"/>
        <w:ind w:firstLine="709"/>
        <w:jc w:val="both"/>
        <w:rPr>
          <w:i/>
          <w:noProof/>
          <w:color w:val="000000" w:themeColor="text1"/>
          <w:sz w:val="26"/>
          <w:szCs w:val="26"/>
          <w:lang w:val="vi-VN"/>
        </w:rPr>
      </w:pPr>
      <w:r w:rsidRPr="00034921">
        <w:rPr>
          <w:i/>
          <w:noProof/>
          <w:color w:val="000000" w:themeColor="text1"/>
          <w:sz w:val="26"/>
          <w:szCs w:val="26"/>
          <w:lang w:val="vi-VN"/>
        </w:rPr>
        <w:t xml:space="preserve">+ Đối với cơ quan nhà nước: </w:t>
      </w:r>
    </w:p>
    <w:p w14:paraId="6E56E87E"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Việc quy định nguyên tắc trong Luật và giao Chính phủ quy định chi tiết về hồ sơ đề nghị hưởng miễn trừ và hồ sơ, thủ tục thông báo tập trung kinh tế có thể làm phát sinh chi phí chuyển đổi chính sách trong giai đoạn đầu triển khai. Cơ quan quản lý cần thực hiện rà soát, sửa đổi, bổ sung Nghị định số 35/2020/NĐ-CP và các văn bản hướng dẫn liên quan, đồng thời cập nhật quy trình nghiệp vụ, hệ thống biểu mẫu, hạ tầng công nghệ thông tin và tổ chức tập huấn cho cán bộ thực thi. Trong thời gian chuyển tiếp, nếu quy định chi tiết chưa được ban hành kịp thời hoặc chưa đủ rõ ràng, có thể phát sinh cách hiểu và áp dụng khác nhau giữa các đơn vị, làm giảm hiệu quả xử lý hồ sơ và gia tăng áp lực hành chính đối với cơ quan cạnh tranh.</w:t>
      </w:r>
    </w:p>
    <w:p w14:paraId="1722251C"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Ngoài ra, việc đơn giản hóa thành phần hồ sơ nếu không đi kèm cơ chế sàng lọc rủi ro phù hợp có thể làm tăng số lượng hồ sơ đề nghị miễn trừ hoặc thông báo tập trung kinh tế, dẫn đến gia tăng khối lượng công việc và yêu cầu cao hơn về nguồn lực phân tích, thẩm định của cơ quan nhà nước.</w:t>
      </w:r>
    </w:p>
    <w:p w14:paraId="13F6560D" w14:textId="77777777" w:rsidR="00A97C72" w:rsidRPr="00034921" w:rsidRDefault="00A97C72" w:rsidP="00D31383">
      <w:pPr>
        <w:spacing w:before="120" w:after="120" w:line="340" w:lineRule="exact"/>
        <w:ind w:firstLine="709"/>
        <w:jc w:val="both"/>
        <w:rPr>
          <w:i/>
          <w:noProof/>
          <w:color w:val="000000" w:themeColor="text1"/>
          <w:sz w:val="26"/>
          <w:szCs w:val="26"/>
          <w:lang w:val="vi-VN"/>
        </w:rPr>
      </w:pPr>
      <w:r w:rsidRPr="00034921">
        <w:rPr>
          <w:i/>
          <w:noProof/>
          <w:color w:val="000000" w:themeColor="text1"/>
          <w:sz w:val="26"/>
          <w:szCs w:val="26"/>
          <w:lang w:val="vi-VN"/>
        </w:rPr>
        <w:t>+ Đối với doanh nghiệp</w:t>
      </w:r>
    </w:p>
    <w:p w14:paraId="6C4FF102"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Đối với doanh nghiệp, việc sửa đổi quy định của Luật Cạnh tranh và kéo theo sửa đổi Nghị định số 35/2020/NĐ-CP có thể làm phát sinh chi phí tuân thủ trong giai đoạn chuyển tiếp, bao gồm chi phí cập nhật quy trình nội bộ, điều chỉnh hệ thống kiểm soát pháp lý và đào tạo nhân sự phụ trách giao dịch tập trung kinh tế hoặc chuẩn bị hồ sơ đề nghị miễn trừ. Nếu văn bản hướng dẫn chưa được ban hành đồng bộ hoặc có sự thay đổi về yêu cầu hồ sơ, doanh nghiệp có thể gặp khó khăn trong việc xác định thành phần tài liệu cần chuẩn bị, làm chậm tiến độ thực hiện giao dịch hoặc kế hoạch hợp tác kinh doanh.</w:t>
      </w:r>
    </w:p>
    <w:p w14:paraId="51DDD415"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Bên cạnh đó, do các nội dung chi tiết được quy định ở cấp nghị định, khả năng điều chỉnh yêu cầu hồ sơ theo chu kỳ quản lý có thể khiến doanh nghiệp phải thường xuyên theo dõi, cập nhật quy định mới, làm phát sinh chi phí tuân thủ gián tiếp, đặc biệt đối với doanh nghiệp nhỏ và vừa có nguồn lực pháp chế hạn chế. Tuy nhiên, các tác động này chủ yếu mang tính ngắn hạn và có thể giảm dần khi hệ thống quy định được ổn định và chuẩn hóa.</w:t>
      </w:r>
    </w:p>
    <w:p w14:paraId="461E1B4C" w14:textId="6A07DB24" w:rsidR="00A97C72" w:rsidRPr="00034921" w:rsidRDefault="00A97C72" w:rsidP="00D31383">
      <w:pPr>
        <w:spacing w:before="120" w:after="120" w:line="340" w:lineRule="exact"/>
        <w:ind w:firstLine="709"/>
        <w:rPr>
          <w:b/>
          <w:bCs/>
          <w:i/>
          <w:iCs/>
          <w:noProof/>
          <w:color w:val="000000" w:themeColor="text1"/>
          <w:sz w:val="26"/>
          <w:szCs w:val="26"/>
          <w:lang w:val="vi-VN"/>
        </w:rPr>
      </w:pPr>
      <w:r w:rsidRPr="00034921">
        <w:rPr>
          <w:b/>
          <w:bCs/>
          <w:i/>
          <w:iCs/>
          <w:noProof/>
          <w:color w:val="000000" w:themeColor="text1"/>
          <w:sz w:val="26"/>
          <w:szCs w:val="26"/>
          <w:lang w:val="vi-VN"/>
        </w:rPr>
        <w:t xml:space="preserve">Tác động về giới: </w:t>
      </w:r>
      <w:r w:rsidRPr="00034921">
        <w:rPr>
          <w:noProof/>
          <w:color w:val="000000" w:themeColor="text1"/>
          <w:sz w:val="26"/>
          <w:szCs w:val="26"/>
          <w:lang w:val="vi-VN"/>
        </w:rPr>
        <w:t>Chính sách không tạo ra sự phân biệt đối xử về giới, không đặt ra quy định riêng đối với nam hoặc nữ, tác động của chính sách là trung tính về giới.</w:t>
      </w:r>
    </w:p>
    <w:p w14:paraId="0C09FB25" w14:textId="77777777" w:rsidR="00A97C72" w:rsidRPr="00034921" w:rsidRDefault="00A97C72" w:rsidP="00D31383">
      <w:pPr>
        <w:spacing w:before="120" w:after="120" w:line="340" w:lineRule="exact"/>
        <w:ind w:firstLine="709"/>
        <w:rPr>
          <w:b/>
          <w:bCs/>
          <w:i/>
          <w:iCs/>
          <w:noProof/>
          <w:color w:val="000000" w:themeColor="text1"/>
          <w:sz w:val="26"/>
          <w:szCs w:val="26"/>
          <w:lang w:val="vi-VN"/>
        </w:rPr>
      </w:pPr>
      <w:r w:rsidRPr="00034921">
        <w:rPr>
          <w:b/>
          <w:bCs/>
          <w:i/>
          <w:iCs/>
          <w:noProof/>
          <w:color w:val="000000" w:themeColor="text1"/>
          <w:sz w:val="26"/>
          <w:szCs w:val="26"/>
          <w:lang w:val="vi-VN"/>
        </w:rPr>
        <w:lastRenderedPageBreak/>
        <w:t xml:space="preserve">Tác động về thủ tục hành chính: </w:t>
      </w:r>
    </w:p>
    <w:p w14:paraId="75F46752"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 xml:space="preserve">Tích cực: </w:t>
      </w:r>
    </w:p>
    <w:p w14:paraId="3C2CAD6D" w14:textId="77777777" w:rsidR="00A97C72" w:rsidRPr="009F4D93" w:rsidRDefault="00A97C72" w:rsidP="00D31383">
      <w:pPr>
        <w:spacing w:before="120" w:after="120" w:line="340" w:lineRule="exact"/>
        <w:ind w:firstLine="709"/>
        <w:jc w:val="both"/>
        <w:rPr>
          <w:i/>
          <w:noProof/>
          <w:color w:val="000000" w:themeColor="text1"/>
          <w:sz w:val="26"/>
          <w:szCs w:val="26"/>
          <w:lang w:val="vi-VN"/>
        </w:rPr>
      </w:pPr>
      <w:r w:rsidRPr="009F4D93">
        <w:rPr>
          <w:i/>
          <w:noProof/>
          <w:color w:val="000000" w:themeColor="text1"/>
          <w:sz w:val="26"/>
          <w:szCs w:val="26"/>
          <w:lang w:val="vi-VN"/>
        </w:rPr>
        <w:t>Đối với thủ tục đề nghị hưởng miễn trừ đối với thỏa thuận hạn chế cạnh tranh bị cấm</w:t>
      </w:r>
    </w:p>
    <w:p w14:paraId="1905F329"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Giải pháp 1 cho phép quy định nguyên tắc chung tại Luật Cạnh tranh và giao Chính phủ quy định chi tiết về thành phần hồ sơ đề nghị hưởng miễn trừ và hồ sơ tham vấn trong quá trình xem xét hồ sơ. Cách tiếp cận này tạo điều kiện linh hoạt điều chỉnh yêu cầu hồ sơ theo thực tiễn áp dụng, hạn chế tình trạng quy định cứng, thiếu khả năng thích ứng với sự đa dạng của các thỏa thuận kinh doanh.</w:t>
      </w:r>
    </w:p>
    <w:p w14:paraId="144E2717"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Việc chuẩn hóa và đơn giản hóa thành phần hồ sơ ở cấp nghị định giúp giảm số lượng tài liệu doanh nghiệp phải chuẩn bị, loại bỏ các yêu cầu trùng lặp hoặc không cần thiết, từ đó giảm chi phí tuân thủ, rút ngắn thời gian chuẩn bị và nộp hồ sơ. Đồng thời, việc quy định rõ hồ sơ tham vấn ngay từ đầu giúp doanh nghiệp chủ động tiếp cận, trao đổi với cơ quan quản lý, qua đó giảm rủi ro hồ sơ bị trả lại hoặc yêu cầu bổ sung nhiều lần, nâng cao hiệu quả giải quyết thủ tục.</w:t>
      </w:r>
    </w:p>
    <w:p w14:paraId="153E63DE" w14:textId="77777777" w:rsidR="00A97C72" w:rsidRPr="00034921" w:rsidRDefault="00A97C72" w:rsidP="00D31383">
      <w:pPr>
        <w:spacing w:before="120" w:after="120" w:line="340" w:lineRule="exact"/>
        <w:ind w:firstLine="709"/>
        <w:jc w:val="both"/>
        <w:rPr>
          <w:i/>
          <w:noProof/>
          <w:color w:val="000000" w:themeColor="text1"/>
          <w:sz w:val="26"/>
          <w:szCs w:val="26"/>
          <w:lang w:val="vi-VN"/>
        </w:rPr>
      </w:pPr>
      <w:r w:rsidRPr="00034921">
        <w:rPr>
          <w:i/>
          <w:noProof/>
          <w:color w:val="000000" w:themeColor="text1"/>
          <w:sz w:val="26"/>
          <w:szCs w:val="26"/>
          <w:lang w:val="vi-VN"/>
        </w:rPr>
        <w:t>Đối với thủ tục thông báo tập trung kinh tế</w:t>
      </w:r>
    </w:p>
    <w:p w14:paraId="1589EC34" w14:textId="77777777" w:rsidR="00A97C72" w:rsidRPr="00034921" w:rsidRDefault="00A97C72" w:rsidP="00D31383">
      <w:pPr>
        <w:spacing w:before="120" w:after="120" w:line="340" w:lineRule="exact"/>
        <w:ind w:firstLine="709"/>
        <w:jc w:val="both"/>
        <w:rPr>
          <w:iCs/>
          <w:noProof/>
          <w:color w:val="000000" w:themeColor="text1"/>
          <w:spacing w:val="-2"/>
          <w:sz w:val="26"/>
          <w:szCs w:val="26"/>
          <w:lang w:val="vi-VN"/>
        </w:rPr>
      </w:pPr>
      <w:r w:rsidRPr="00034921">
        <w:rPr>
          <w:iCs/>
          <w:noProof/>
          <w:color w:val="000000" w:themeColor="text1"/>
          <w:spacing w:val="-2"/>
          <w:sz w:val="26"/>
          <w:szCs w:val="26"/>
          <w:lang w:val="vi-VN"/>
        </w:rPr>
        <w:t>Giải pháp 1 có tác động tích cực rõ rệt đối với thủ tục thông báo tập trung kinh tế theo hướng không ban hành mới và không làm phát sinh thêm thủ tục hành chính, mà chủ yếu rà soát, sửa đổi các quy định hiện hành để đơn giản hóa thành phần hồ sơ, trình tự và phương thức thực hiện. Cách tiếp cận này góp phần giảm chi phí tuân thủ và hạn chế gia tăng gánh nặng thủ tục cho doanh nghiệp trong quá trình thực hiện giao dịch tập trung kinh tế.</w:t>
      </w:r>
    </w:p>
    <w:p w14:paraId="67375557"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Việc giao Chính phủ quy định chi tiết tạo cơ sở để triển khai các phương án đơn giản hóa thủ tục thông báo tập trung kinh tế theo Nghị quyết số 66.7/2025/NQ-CP, đồng thời đơn giản hóa thủ tục tham vấn trong quá trình thẩm định hồ sơ thông báo tập trung kinh tế và thủ tục tham vấn khi xem xét hồ sơ đề nghị hưởng miễn trừ đối với thỏa thuận hạn chế cạnh tranh bị cấm theo Quyết định số 1643/QĐ-TTg. Qua đó, quy trình xử lý hồ sơ được rút gọn, giảm yêu cầu tài liệu không cần thiết và tăng khả năng phân loại, sàng lọc các giao dịch có rủi ro cạnh tranh thấp.</w:t>
      </w:r>
    </w:p>
    <w:p w14:paraId="50D1CB43"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Bên cạnh đó, việc quy định nguyên tắc chung tại Luật và giao Chính phủ hướng dẫn chi tiết về hồ sơ, trình tự, thời hạn thực hiện giúp chuẩn hóa và minh bạch hóa quy trình xử lý thủ tục, bảo đảm thống nhất với pháp luật về thủ tục hành chính, nâng cao tính dự đoán và kỷ luật hành chính trong quá trình thẩm định tập trung kinh tế. Điều này góp phần cải thiện môi trường đầu tư, tạo thuận lợi cho doanh nghiệp trong việc xây dựng kế hoạch và triển khai các giao dịch mua bán, sáp nhập.</w:t>
      </w:r>
    </w:p>
    <w:p w14:paraId="1B6FAF52"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 xml:space="preserve">Tiêu cực: </w:t>
      </w:r>
    </w:p>
    <w:p w14:paraId="26A5986F" w14:textId="77777777" w:rsidR="00A97C72" w:rsidRPr="00034921" w:rsidRDefault="00A97C72" w:rsidP="00D31383">
      <w:pPr>
        <w:spacing w:before="120" w:after="120" w:line="340" w:lineRule="exact"/>
        <w:ind w:firstLine="709"/>
        <w:jc w:val="both"/>
        <w:rPr>
          <w:i/>
          <w:noProof/>
          <w:color w:val="000000" w:themeColor="text1"/>
          <w:spacing w:val="-4"/>
          <w:sz w:val="26"/>
          <w:szCs w:val="26"/>
          <w:lang w:val="vi-VN"/>
        </w:rPr>
      </w:pPr>
      <w:r w:rsidRPr="00034921">
        <w:rPr>
          <w:i/>
          <w:noProof/>
          <w:color w:val="000000" w:themeColor="text1"/>
          <w:spacing w:val="-4"/>
          <w:sz w:val="26"/>
          <w:szCs w:val="26"/>
          <w:lang w:val="vi-VN"/>
        </w:rPr>
        <w:t>Đối với thủ tục đề nghị hưởng miễn trừ đối với thỏa thuận hạn chế cạnh tranh bị cấm</w:t>
      </w:r>
    </w:p>
    <w:p w14:paraId="39D5A447"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lastRenderedPageBreak/>
        <w:t>Trong giai đoạn đầu triển khai, việc sửa đổi Luật Cạnh tranh và kéo theo sửa đổi các văn bản dưới luật có thể làm phát sinh chi phí chuyển đổi thủ tục, khi doanh nghiệp và cơ quan quản lý phải cập nhật quy định mới về thành phần hồ sơ và quy trình tham vấn. Nếu nghị định hướng dẫn chưa được ban hành kịp thời hoặc quy định chưa đủ rõ ràng, doanh nghiệp có thể gặp khó khăn trong việc xác định chính xác hồ sơ cần chuẩn bị, dẫn đến chậm trễ trong quá trình nộp và xử lý hồ sơ.</w:t>
      </w:r>
    </w:p>
    <w:p w14:paraId="540C1C59"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Ngoài ra, việc giao Chính phủ quy định chi tiết thành phần hồ sơ có thể dẫn đến nguy cơ điều chỉnh yêu cầu hồ sơ theo chu kỳ quản lý, làm giảm tính ổn định của thủ tục hành chính và buộc doanh nghiệp phải thường xuyên cập nhật quy định mới, đặc biệt gây bất lợi cho doanh nghiệp nhỏ và vừa có nguồn lực pháp chế hạn chế.</w:t>
      </w:r>
    </w:p>
    <w:p w14:paraId="6FA85307" w14:textId="77777777" w:rsidR="00A97C72" w:rsidRPr="00034921" w:rsidRDefault="00A97C72" w:rsidP="00D31383">
      <w:pPr>
        <w:spacing w:before="120" w:after="120" w:line="340" w:lineRule="exact"/>
        <w:ind w:firstLine="709"/>
        <w:jc w:val="both"/>
        <w:rPr>
          <w:i/>
          <w:noProof/>
          <w:color w:val="000000" w:themeColor="text1"/>
          <w:sz w:val="26"/>
          <w:szCs w:val="26"/>
          <w:lang w:val="vi-VN"/>
        </w:rPr>
      </w:pPr>
      <w:r w:rsidRPr="00034921">
        <w:rPr>
          <w:i/>
          <w:noProof/>
          <w:color w:val="000000" w:themeColor="text1"/>
          <w:sz w:val="26"/>
          <w:szCs w:val="26"/>
          <w:lang w:val="vi-VN"/>
        </w:rPr>
        <w:t>Đối với thủ tục thông báo tập trung kinh tế</w:t>
      </w:r>
    </w:p>
    <w:p w14:paraId="27862570" w14:textId="77777777" w:rsidR="00A97C72" w:rsidRPr="00034921" w:rsidRDefault="00A97C72" w:rsidP="00D31383">
      <w:pPr>
        <w:spacing w:before="120" w:after="120" w:line="340" w:lineRule="exact"/>
        <w:ind w:firstLine="709"/>
        <w:jc w:val="both"/>
        <w:rPr>
          <w:iCs/>
          <w:noProof/>
          <w:color w:val="000000" w:themeColor="text1"/>
          <w:sz w:val="26"/>
          <w:szCs w:val="26"/>
          <w:lang w:val="vi-VN"/>
        </w:rPr>
      </w:pPr>
      <w:r w:rsidRPr="00034921">
        <w:rPr>
          <w:iCs/>
          <w:noProof/>
          <w:color w:val="000000" w:themeColor="text1"/>
          <w:sz w:val="26"/>
          <w:szCs w:val="26"/>
          <w:lang w:val="vi-VN"/>
        </w:rPr>
        <w:t>Đối với thủ tục thông báo tập trung kinh tế, việc mở rộng thẩm quyền quy định chi tiết ở cấp nghị định có thể dẫn đến sự thay đổi về phạm vi giao dịch phải thông báo hoặc yêu cầu hồ sơ, làm gia tăng chi phí tuân thủ trong ngắn hạn. Trong thời gian chuyển tiếp, doanh nghiệp có thể gặp khó khăn trong việc xác định giao dịch của mình thuộc diện phải thông báo hay được miễn trừ, đặc biệt đối với các mô hình giao dịch mới hoặc phức tạp.</w:t>
      </w:r>
    </w:p>
    <w:p w14:paraId="074526A2" w14:textId="77777777" w:rsidR="009F4D93" w:rsidRDefault="00A97C72" w:rsidP="00D31383">
      <w:pPr>
        <w:spacing w:before="120" w:after="120" w:line="340" w:lineRule="exact"/>
        <w:ind w:firstLine="709"/>
        <w:jc w:val="both"/>
        <w:rPr>
          <w:iCs/>
          <w:noProof/>
          <w:color w:val="000000" w:themeColor="text1"/>
          <w:sz w:val="26"/>
          <w:szCs w:val="26"/>
        </w:rPr>
      </w:pPr>
      <w:r w:rsidRPr="00034921">
        <w:rPr>
          <w:iCs/>
          <w:noProof/>
          <w:color w:val="000000" w:themeColor="text1"/>
          <w:sz w:val="26"/>
          <w:szCs w:val="26"/>
          <w:lang w:val="vi-VN"/>
        </w:rPr>
        <w:t>Bên cạnh đó, nếu việc đơn giản hóa hồ sơ không đi kèm với cơ chế phân loại, sàng lọc rủi ro hiệu quả, có thể phát sinh gia tăng số lượng hồ sơ thông báo, tạo áp lực cho cơ quan xử lý và kéo dài thời gian giải quyết đối với các giao dịch phức tạp, gián tiếp ảnh hưởng đến tiến độ thực hiện giao dịch của doanh nghiệp.</w:t>
      </w:r>
    </w:p>
    <w:p w14:paraId="025F2FBA" w14:textId="2758731F" w:rsidR="00A97C72" w:rsidRPr="009F4D93" w:rsidRDefault="009F4D93" w:rsidP="00D31383">
      <w:pPr>
        <w:pStyle w:val="Heading3"/>
        <w:ind w:firstLine="709"/>
        <w:rPr>
          <w:noProof/>
          <w:color w:val="000000" w:themeColor="text1"/>
          <w:lang w:val="vi-VN"/>
        </w:rPr>
      </w:pPr>
      <w:r w:rsidRPr="009F4D93">
        <w:rPr>
          <w:noProof/>
          <w:color w:val="000000" w:themeColor="text1"/>
          <w:lang w:val="vi-VN"/>
        </w:rPr>
        <w:t xml:space="preserve">b) </w:t>
      </w:r>
      <w:r w:rsidR="00A97C72" w:rsidRPr="009F4D93">
        <w:rPr>
          <w:noProof/>
          <w:color w:val="000000" w:themeColor="text1"/>
          <w:lang w:val="vi-VN"/>
        </w:rPr>
        <w:t>Giải pháp 2: Sửa đổi, bổ sung một số quy định liên quan đến thủ tục hành chính trong Luật Cạnh tranh, gồm thủ tục đề nghị hưởng miễn trừ đối với thỏa thuận hạn chế cạnh tranh bị cấm, thủ tục thông báo tập trung kinh tế theo hướng đơn giản hóa, minh bạch hóa. Cụ thể:</w:t>
      </w:r>
    </w:p>
    <w:p w14:paraId="18B69F9B" w14:textId="77777777" w:rsidR="00A97C72" w:rsidRPr="00034921" w:rsidRDefault="00A97C72" w:rsidP="00D31383">
      <w:pPr>
        <w:numPr>
          <w:ilvl w:val="0"/>
          <w:numId w:val="20"/>
        </w:numPr>
        <w:tabs>
          <w:tab w:val="clear" w:pos="720"/>
          <w:tab w:val="num" w:pos="851"/>
        </w:tabs>
        <w:spacing w:before="120" w:after="120" w:line="340" w:lineRule="exact"/>
        <w:ind w:left="0" w:firstLine="709"/>
        <w:jc w:val="both"/>
        <w:rPr>
          <w:i/>
          <w:iCs/>
          <w:noProof/>
          <w:color w:val="000000" w:themeColor="text1"/>
          <w:sz w:val="26"/>
          <w:szCs w:val="26"/>
          <w:lang w:val="vi-VN"/>
        </w:rPr>
      </w:pPr>
      <w:r w:rsidRPr="00034921">
        <w:rPr>
          <w:i/>
          <w:iCs/>
          <w:noProof/>
          <w:color w:val="000000" w:themeColor="text1"/>
          <w:sz w:val="26"/>
          <w:szCs w:val="26"/>
          <w:lang w:val="vi-VN"/>
        </w:rPr>
        <w:t>Rà soát, sửa đổi, bổ sung quy định tại Điều 15 và Điều 18 Luật Cạnh tranh theo hướng quy định rõ và đơn giản hóa thành phần hồ sơ đề nghị hưởng miễn trừ và hồ sơ tham vấn trong quá trình xem xết hồ sơ đề nghị hưởng miễn trừ đối với thỏa thuận hạn chế cạnh tranh bị cấm;</w:t>
      </w:r>
    </w:p>
    <w:p w14:paraId="3115B728" w14:textId="77777777" w:rsidR="00A97C72" w:rsidRPr="00034921" w:rsidRDefault="00A97C72" w:rsidP="00D31383">
      <w:pPr>
        <w:numPr>
          <w:ilvl w:val="0"/>
          <w:numId w:val="20"/>
        </w:numPr>
        <w:tabs>
          <w:tab w:val="clear" w:pos="720"/>
          <w:tab w:val="num" w:pos="851"/>
        </w:tabs>
        <w:spacing w:before="120" w:after="120" w:line="340" w:lineRule="exact"/>
        <w:ind w:left="0" w:firstLine="709"/>
        <w:jc w:val="both"/>
        <w:rPr>
          <w:i/>
          <w:iCs/>
          <w:noProof/>
          <w:color w:val="000000" w:themeColor="text1"/>
          <w:sz w:val="26"/>
          <w:szCs w:val="26"/>
          <w:lang w:val="vi-VN"/>
        </w:rPr>
      </w:pPr>
      <w:r w:rsidRPr="00034921">
        <w:rPr>
          <w:i/>
          <w:iCs/>
          <w:noProof/>
          <w:color w:val="000000" w:themeColor="text1"/>
          <w:sz w:val="26"/>
          <w:szCs w:val="26"/>
          <w:lang w:val="vi-VN"/>
        </w:rPr>
        <w:t xml:space="preserve">Rà soát, sửa đổi, bổ sung các quy định về trình tự, thủ tục thẩm định việc tập trung kinh tế theo hướng đơn giản hóa thủ tục thông báo tập trung kinh tế đối với các giao dịch diễn ra giữa các doanh nghiệp cùng thuộc một nhóm doanh nghiệp liên kết thông qua việc thẩm định các hồ sơ này theo trình tự, thủ tục rút gọn; </w:t>
      </w:r>
    </w:p>
    <w:p w14:paraId="29204CB4" w14:textId="77777777" w:rsidR="00A97C72" w:rsidRPr="00034921" w:rsidRDefault="00A97C72" w:rsidP="00D31383">
      <w:pPr>
        <w:numPr>
          <w:ilvl w:val="0"/>
          <w:numId w:val="20"/>
        </w:numPr>
        <w:tabs>
          <w:tab w:val="clear" w:pos="720"/>
          <w:tab w:val="num" w:pos="851"/>
        </w:tabs>
        <w:spacing w:before="120" w:after="120" w:line="340" w:lineRule="exact"/>
        <w:ind w:left="0" w:firstLine="709"/>
        <w:jc w:val="both"/>
        <w:rPr>
          <w:i/>
          <w:iCs/>
          <w:noProof/>
          <w:color w:val="000000" w:themeColor="text1"/>
          <w:sz w:val="26"/>
          <w:szCs w:val="26"/>
          <w:lang w:val="vi-VN"/>
        </w:rPr>
      </w:pPr>
      <w:r w:rsidRPr="00034921">
        <w:rPr>
          <w:i/>
          <w:iCs/>
          <w:noProof/>
          <w:color w:val="000000" w:themeColor="text1"/>
          <w:sz w:val="26"/>
          <w:szCs w:val="26"/>
          <w:lang w:val="vi-VN"/>
        </w:rPr>
        <w:t xml:space="preserve">Rà soát, sửa đổi, bổ sung quy định tại Điều 34 và Điều 39 Luật Cạnh tranh theo hướng quy định rõ và đơn giản hóa thành phần hồ sơ thông báo tập trung kinh tế, hồ sơ tham vấn trong quá trình thẩm định việc tập trung kinh tế; </w:t>
      </w:r>
    </w:p>
    <w:p w14:paraId="572B60B1" w14:textId="77777777" w:rsidR="00A97C72" w:rsidRPr="00034921" w:rsidRDefault="00A97C72" w:rsidP="00D31383">
      <w:pPr>
        <w:numPr>
          <w:ilvl w:val="0"/>
          <w:numId w:val="20"/>
        </w:numPr>
        <w:tabs>
          <w:tab w:val="clear" w:pos="720"/>
          <w:tab w:val="num" w:pos="851"/>
        </w:tabs>
        <w:spacing w:before="120" w:after="120" w:line="340" w:lineRule="exact"/>
        <w:ind w:left="0" w:firstLine="709"/>
        <w:jc w:val="both"/>
        <w:rPr>
          <w:i/>
          <w:iCs/>
          <w:noProof/>
          <w:color w:val="000000" w:themeColor="text1"/>
          <w:sz w:val="26"/>
          <w:szCs w:val="26"/>
          <w:lang w:val="vi-VN"/>
        </w:rPr>
      </w:pPr>
      <w:r w:rsidRPr="00034921">
        <w:rPr>
          <w:i/>
          <w:iCs/>
          <w:noProof/>
          <w:color w:val="000000" w:themeColor="text1"/>
          <w:sz w:val="26"/>
          <w:szCs w:val="26"/>
          <w:lang w:val="vi-VN"/>
        </w:rPr>
        <w:t>Rà soát, bổ sung quy định về thời hạn thực hiện các quyết định liên quan đến tập trung kinh tế có điều kiện.</w:t>
      </w:r>
    </w:p>
    <w:p w14:paraId="36295532" w14:textId="0F45CC15" w:rsidR="00A97C72" w:rsidRPr="00034921" w:rsidRDefault="00102578" w:rsidP="00D31383">
      <w:pPr>
        <w:spacing w:before="120" w:after="120" w:line="340" w:lineRule="exact"/>
        <w:ind w:firstLine="709"/>
        <w:rPr>
          <w:b/>
          <w:bCs/>
          <w:noProof/>
          <w:color w:val="000000" w:themeColor="text1"/>
          <w:sz w:val="26"/>
          <w:szCs w:val="26"/>
          <w:lang w:val="vi-VN"/>
        </w:rPr>
      </w:pPr>
      <w:r w:rsidRPr="00034921">
        <w:rPr>
          <w:b/>
          <w:bCs/>
          <w:i/>
          <w:iCs/>
          <w:noProof/>
          <w:color w:val="000000" w:themeColor="text1"/>
          <w:sz w:val="26"/>
          <w:szCs w:val="26"/>
          <w:lang w:val="vi-VN"/>
        </w:rPr>
        <w:t xml:space="preserve">- </w:t>
      </w:r>
      <w:r w:rsidR="00A97C72" w:rsidRPr="00034921">
        <w:rPr>
          <w:b/>
          <w:bCs/>
          <w:i/>
          <w:iCs/>
          <w:noProof/>
          <w:color w:val="000000" w:themeColor="text1"/>
          <w:sz w:val="26"/>
          <w:szCs w:val="26"/>
          <w:lang w:val="vi-VN"/>
        </w:rPr>
        <w:t>Tác động đối với hệ thống pháp luật</w:t>
      </w:r>
    </w:p>
    <w:p w14:paraId="6AB63268"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lastRenderedPageBreak/>
        <w:t>Tích cực</w:t>
      </w:r>
    </w:p>
    <w:p w14:paraId="6AB8B86A"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hợp hiến</w:t>
      </w:r>
    </w:p>
    <w:p w14:paraId="4B87A548"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Giải pháp 2 chỉ tập trung vào hoàn thiện các quy định về trình tự, thủ tục và thành phần hồ sơ mang tính kỹ thuật trong quá trình thực hiện thủ tục đề nghị hưởng miễn trừ đối với thỏa thuận hạn chế cạnh tranh, thủ tục thông báo tập trung kinh tế, không làm phát sinh, hạn chế hay thu hẹp các quyền, nghĩa vụ cơ bản của doanh nghiệp, đặc biệt là quyền tự do kinh doanh được Hiến pháp bảo đảm. </w:t>
      </w:r>
    </w:p>
    <w:p w14:paraId="2DDC8EC7"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quy định rõ hơn về thành phần hồ sơ, thời hạn và phương thức thực hiện thủ tục góp phần nâng cao tính minh bạch, khả dự đoán và an toàn pháp lý, phù hợp với nguyên tắc tổ chức và hoạt động của Nhà nước pháp quyền xã hội chủ nghĩa.</w:t>
      </w:r>
    </w:p>
    <w:p w14:paraId="015E370C"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hợp pháp, tính thống nhất với hệ thống pháp luật:</w:t>
      </w:r>
    </w:p>
    <w:p w14:paraId="1672772B"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Giải pháp 2 bảo đảm tính hợp pháp và tính thống nhất của hệ thống pháp luật thông qua việc sửa đổi, bổ sung trực tiếp các quy định về thủ tục hành chính ngay trong Luật Cạnh tranh. Cách tiếp cận này phù hợp với yêu cầu của Luật Ban hành văn bản quy phạm pháp luật về thẩm quyền, hình thức văn bản và tính minh bạch trong việc xác lập nghĩa vụ, quyền và trình tự thực hiện thủ tục hành chính của tổ chức, cá nhân.</w:t>
      </w:r>
    </w:p>
    <w:p w14:paraId="40525BC1"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Qua rà soát, Giải pháp 2 không có nội dung mâu thuẫn chồng chéo, trùng lặp với các bộ luật, luật, nghị quyết của Quốc hội có liên quan. Đồng thời, việc thực hiện giải pháp sẽ giúp thống nhất giữa pháp luật cạnh tranh với pháp luật về chứng khoán, các quy định về thủ tục hành chính.</w:t>
      </w:r>
    </w:p>
    <w:p w14:paraId="3296C3C2"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tương thích với các điều ước quốc tế có liên quan mà nước Cộng hòa xã hội chủ nghĩa Việt Nam là thành viên:</w:t>
      </w:r>
    </w:p>
    <w:p w14:paraId="5CE0B3F4"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Giải pháp 2 không làm phát sinh nghĩa vụ quốc tế mới, không hạn chế hay ảnh hưởng đến việc thực hiện các cam kết quốc tế của Việt Nam trong lĩnh vực cạnh tranh, thương mại và đầu tư, không trái với các điều ước quốc tế mà nước Cộng hòa xã hội chủ nghĩa Việt Nam là thành viên. </w:t>
      </w:r>
    </w:p>
    <w:p w14:paraId="3364869C" w14:textId="77777777" w:rsidR="00A97C72" w:rsidRPr="00034921" w:rsidRDefault="00A97C72" w:rsidP="00D31383">
      <w:pPr>
        <w:pStyle w:val="ListParagraph"/>
        <w:spacing w:before="120" w:after="120" w:line="340" w:lineRule="exact"/>
        <w:ind w:left="709"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Tiêu cực</w:t>
      </w:r>
    </w:p>
    <w:p w14:paraId="328CE8E3"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hợp hiến: Giải pháp 2 không có nội dung trái với Hiến pháp. </w:t>
      </w:r>
      <w:r w:rsidRPr="00034921">
        <w:rPr>
          <w:rFonts w:ascii="Times New Roman" w:eastAsia="Times New Roman" w:hAnsi="Times New Roman"/>
          <w:noProof/>
          <w:color w:val="000000" w:themeColor="text1"/>
          <w:sz w:val="26"/>
          <w:szCs w:val="26"/>
          <w:lang w:val="vi-VN"/>
        </w:rPr>
        <w:tab/>
      </w:r>
    </w:p>
    <w:p w14:paraId="62CF1A9D"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Về tính tính hợp pháp, tính thống nhất với hệ thống pháp luật:</w:t>
      </w:r>
    </w:p>
    <w:p w14:paraId="3E3CE42F"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Bên cạnh các tác động tích cực, Giải pháp 2 cũng có thể phát sinh một số tác động tiêu cực đối với tính hợp pháp và tính thống nhất của hệ thống pháp luật do cách tiếp cận quy định tương đối chi tiết về thủ tục hành chính ngay trong Luật Cạnh tranh.</w:t>
      </w:r>
    </w:p>
    <w:p w14:paraId="410AAF2C"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Thứ nhất, việc quy định chi tiết thành phần hồ sơ, trình tự, thủ tục và cơ chế tham vấn trực tiếp tại Luật có thể chưa phù hợp với định hướng đổi mới công tác xây dựng pháp luật theo Nghị quyết số 66-NQ/CP ngày 30 tháng 4 năm 2025 của Bộ Chính trị, theo đó các luật điều chỉnh lĩnh vực kiến tạo phát triển nên tập trung quy định các vấn đề mang tính nguyên tắc, khung khổ chung, còn những nội dung mang tính kỹ thuật, thường xuyên biến động theo thực tiễn quản lý thì giao Chính phủ, bộ, ngành quy định </w:t>
      </w:r>
      <w:r w:rsidRPr="00034921">
        <w:rPr>
          <w:noProof/>
          <w:color w:val="000000" w:themeColor="text1"/>
          <w:sz w:val="26"/>
          <w:szCs w:val="26"/>
          <w:lang w:val="vi-VN"/>
        </w:rPr>
        <w:lastRenderedPageBreak/>
        <w:t>để bảo đảm tính linh hoạt. Việc “luật hóa” quá chi tiết các yêu cầu thủ tục có thể làm giảm khả năng điều chỉnh kịp thời khi môi trường kinh doanh, mô hình giao dịch hoặc thông lệ quốc tế thay đổi.</w:t>
      </w:r>
    </w:p>
    <w:p w14:paraId="51EF0B7E"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hai, quy định chi tiết trong Luật về các yếu tố mang tính kỹ thuật như thành phần hồ sơ, quy trình tham vấn hoặc phân loại thủ tục thẩm định tập trung kinh tế có thể không bảo đảm tính ổn định và giá trị lâu dài của Luật. Khi các yêu cầu thực tiễn thay đổi (ví dụ thay đổi cách thức giao dịch, mô hình tập trung kinh tế mới, chuẩn mực báo cáo dữ liệu), việc điều chỉnh các nội dung này sẽ phải thực hiện thông qua sửa đổi luật, kéo theo quy trình lập pháp kéo dài, làm giảm tính kịp thời của chính sách và có thể tạo “độ trễ pháp lý” so với diễn biến của thị trường.</w:t>
      </w:r>
    </w:p>
    <w:p w14:paraId="5A98B8D0"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ba, việc quy định chi tiết tại Luật có nguy cơ làm giảm tính thống nhất trong phân công thẩm quyền giữa Luật và văn bản dưới luật, khi các nội dung vốn thuộc phạm vi quản lý hành chính – kỹ thuật lại được ấn định cứng ở cấp luật. Trong trường hợp cần điều chỉnh linh hoạt để phù hợp với pháp luật về thủ tục hành chính hoặc với các quy định chuyên ngành liên quan (như đầu tư, doanh nghiệp, chứng khoán, viễn thông, thương mại điện tử), cơ quan quản lý sẽ bị hạn chế không gian chính sách, có thể dẫn đến tình trạng phải ban hành thêm các hướng dẫn mang tính diễn giải, làm phức tạp cấu trúc hệ thống pháp luật.</w:t>
      </w:r>
    </w:p>
    <w:p w14:paraId="2FF6EDD0"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tư, cách tiếp cận này cũng có thể làm gia tăng nguy cơ không đồng bộ với các cải cách thủ tục hành chính liên ngành, bởi các quy trình, biểu mẫu, phương thức nộp hồ sơ trong thực tế thường được chuẩn hóa theo hệ thống quản lý thủ tục hành chính thống nhất. Nếu Luật quy định quá cụ thể, việc cập nhật theo các chương trình cải cách thủ tục hành chính hoặc chuyển đổi số của Chính phủ sẽ gặp khó khăn, làm giảm tính linh hoạt của hệ thống.</w:t>
      </w:r>
    </w:p>
    <w:p w14:paraId="2F0E0DC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Như vậy, xét về phương diện hợp pháp và tính thống nhất của hệ thống pháp luật, Giải pháp 2 tiềm ẩn rủi ro “luật hóa” các nội dung mang tính kỹ thuật, thường xuyên biến động, chưa hoàn toàn phù hợp với định hướng phân định hợp lý giữa quy định khung tại Luật và quy định chi tiết tại văn bản dưới luật, đồng thời có thể ảnh hưởng đến tính ổn định, giá trị lâu dài và khả năng thích ứng của Luật Cạnh tranh trong bối cảnh thị trường và mô hình kinh doanh thay đổi nhanh.</w:t>
      </w:r>
    </w:p>
    <w:p w14:paraId="493303CD" w14:textId="77777777" w:rsidR="00A97C72" w:rsidRPr="00034921" w:rsidRDefault="00A97C72" w:rsidP="00D31383">
      <w:pPr>
        <w:pStyle w:val="ListParagraph"/>
        <w:spacing w:before="120" w:after="120" w:line="340" w:lineRule="exact"/>
        <w:ind w:left="0" w:firstLine="709"/>
        <w:contextualSpacing w:val="0"/>
        <w:jc w:val="both"/>
        <w:rPr>
          <w:rFonts w:ascii="Times New Roman" w:eastAsia="Times New Roman" w:hAnsi="Times New Roman"/>
          <w:noProof/>
          <w:color w:val="000000" w:themeColor="text1"/>
          <w:sz w:val="26"/>
          <w:szCs w:val="26"/>
          <w:lang w:val="vi-VN"/>
        </w:rPr>
      </w:pPr>
      <w:r w:rsidRPr="00034921">
        <w:rPr>
          <w:rFonts w:ascii="Times New Roman" w:eastAsia="Times New Roman" w:hAnsi="Times New Roman"/>
          <w:noProof/>
          <w:color w:val="000000" w:themeColor="text1"/>
          <w:sz w:val="26"/>
          <w:szCs w:val="26"/>
          <w:lang w:val="vi-VN"/>
        </w:rPr>
        <w:t xml:space="preserve">+ Về tính tương thích với các điều ước quốc tế có liên quan mà nước Cộng hòa xã hội chủ nghĩa Việt Nam là thành viên: </w:t>
      </w:r>
    </w:p>
    <w:p w14:paraId="4525A30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Giải pháp 2 không tác động tiêu cực đến tính tương thích với các điều ước quốc tế có liên quan mà nước Cộng hòa xã hội chủ nghĩa Việt Nam là thành viên.</w:t>
      </w:r>
    </w:p>
    <w:p w14:paraId="4FEBBE99" w14:textId="5031EC18" w:rsidR="00A97C72" w:rsidRPr="00034921" w:rsidRDefault="00102578" w:rsidP="00D31383">
      <w:pPr>
        <w:spacing w:before="120" w:after="120" w:line="340" w:lineRule="exact"/>
        <w:ind w:firstLine="709"/>
        <w:rPr>
          <w:b/>
          <w:bCs/>
          <w:i/>
          <w:iCs/>
          <w:noProof/>
          <w:color w:val="000000" w:themeColor="text1"/>
          <w:sz w:val="26"/>
          <w:szCs w:val="26"/>
          <w:lang w:val="vi-VN"/>
        </w:rPr>
      </w:pPr>
      <w:r w:rsidRPr="00034921">
        <w:rPr>
          <w:b/>
          <w:bCs/>
          <w:i/>
          <w:iCs/>
          <w:noProof/>
          <w:color w:val="000000" w:themeColor="text1"/>
          <w:sz w:val="26"/>
          <w:szCs w:val="26"/>
          <w:lang w:val="vi-VN"/>
        </w:rPr>
        <w:t xml:space="preserve">- </w:t>
      </w:r>
      <w:r w:rsidR="00A97C72" w:rsidRPr="00034921">
        <w:rPr>
          <w:b/>
          <w:bCs/>
          <w:i/>
          <w:iCs/>
          <w:noProof/>
          <w:color w:val="000000" w:themeColor="text1"/>
          <w:sz w:val="26"/>
          <w:szCs w:val="26"/>
          <w:lang w:val="vi-VN"/>
        </w:rPr>
        <w:t xml:space="preserve">Tác động về kinh tế - xã hội: </w:t>
      </w:r>
    </w:p>
    <w:p w14:paraId="21FBCDDF" w14:textId="7992DBF2"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Tích cực: </w:t>
      </w:r>
    </w:p>
    <w:p w14:paraId="5415B921"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 Đối với cơ quan nhà nước: </w:t>
      </w:r>
    </w:p>
    <w:p w14:paraId="606C0E03"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Giải pháp 2 góp phần nâng cao hiệu quả quản lý nhà nước trong lĩnh vực cạnh tranh thông qua việc quy định rõ ràng, minh bạch và đơn giản hóa ngay trong Luật các </w:t>
      </w:r>
      <w:r w:rsidRPr="00034921">
        <w:rPr>
          <w:noProof/>
          <w:color w:val="000000" w:themeColor="text1"/>
          <w:sz w:val="26"/>
          <w:szCs w:val="26"/>
          <w:lang w:val="vi-VN"/>
        </w:rPr>
        <w:lastRenderedPageBreak/>
        <w:t>yêu cầu về thành phần hồ sơ, trình tự, thủ tục đối với thủ tục đề nghị hưởng miễn trừ và thủ tục thông báo tập trung kinh tế. Khi các quy định được chuẩn hóa ở cấp luật, cơ quan thực thi có cơ sở pháp lý thống nhất để áp dụng trên phạm vi toàn quốc, qua đó giảm sự phụ thuộc vào văn bản hướng dẫn và hạn chế cách hiểu khác nhau giữa các cơ quan.</w:t>
      </w:r>
    </w:p>
    <w:p w14:paraId="2C627FED"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đơn giản hóa thủ tục và thiết kế quy trình thẩm định rút gọn đối với một số trường hợp (như giao dịch trong cùng nhóm doanh nghiệp liên kết) giúp tối ưu hóa việc phân bổ nguồn lực quản lý, cho phép cơ quan cạnh tranh tập trung nhiều hơn vào các giao dịch có nguy cơ hạn chế cạnh tranh đáng kể. Điều này góp phần nâng cao hiệu quả giám sát thị trường, giảm chi phí hành chính trong xử lý hồ sơ và rút ngắn thời gian giải quyết thủ tục.</w:t>
      </w:r>
    </w:p>
    <w:p w14:paraId="59D2841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Bên cạnh đó, việc quy định rõ thời hạn xử lý các quyết định liên quan đến tập trung kinh tế có điều kiện giúp tăng kỷ luật hành chính, nâng cao trách nhiệm giải trình của cơ quan quản lý, đồng thời cải thiện chất lượng cung cấp dịch vụ công trong lĩnh vực cạnh tranh.</w:t>
      </w:r>
    </w:p>
    <w:p w14:paraId="7C22036D"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 Đối với doanh nghiệp: </w:t>
      </w:r>
    </w:p>
    <w:p w14:paraId="3FEA58B8"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Đối với cộng đồng doanh nghiệp, Giải pháp 2 mang lại lợi ích kinh tế – xã hội thông qua việc tăng tính minh bạch, dễ tiếp cận và khả năng dự đoán của thủ tục pháp lý. Khi thành phần hồ sơ và quy trình xử lý được quy định rõ ràng ngay trong Luật, doanh nghiệp có thể chủ động chuẩn bị tài liệu, xây dựng kế hoạch giao dịch và đánh giá rủi ro pháp lý với mức độ chắc chắn cao hơn, qua đó giảm chi phí tuân thủ và chi phí tư vấn pháp lý.</w:t>
      </w:r>
    </w:p>
    <w:p w14:paraId="1C5A68E2"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đơn giản hóa thủ tục thông báo tập trung kinh tế, đặc biệt áp dụng trình tự rút gọn đối với các giao dịch có rủi ro cạnh tranh thấp, giúp rút ngắn thời gian chờ đợi phê duyệt, tạo điều kiện đẩy nhanh tiến độ các hoạt động mua bán, sáp nhập, tái cấu trúc doanh nghiệp. Điều này có tác động tích cực đến quá trình huy động vốn, mở rộng quy mô sản xuất – kinh doanh và nâng cao năng lực cạnh tranh của doanh nghiệp trên thị trường.</w:t>
      </w:r>
    </w:p>
    <w:p w14:paraId="53765801"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Ngoài ra, cơ chế minh bạch về hồ sơ và thời hạn xử lý giúp giảm sự không chắc chắn về thủ tục, hạn chế rủi ro phát sinh chi phí cơ hội do kéo dài thời gian thẩm định, từ đó góp phần cải thiện môi trường đầu tư, kinh doanh và thúc đẩy các hoạt động tái cơ cấu thị trường theo hướng hiệu quả hơn.</w:t>
      </w:r>
    </w:p>
    <w:p w14:paraId="7E1AF726"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Tiêu cực: </w:t>
      </w:r>
    </w:p>
    <w:p w14:paraId="6B88765F" w14:textId="77777777" w:rsidR="00A97C72" w:rsidRPr="00034921" w:rsidRDefault="00A97C72" w:rsidP="00D31383">
      <w:pPr>
        <w:spacing w:before="120" w:after="120" w:line="340" w:lineRule="exact"/>
        <w:ind w:firstLine="709"/>
        <w:jc w:val="both"/>
        <w:rPr>
          <w:i/>
          <w:iCs/>
          <w:noProof/>
          <w:color w:val="000000" w:themeColor="text1"/>
          <w:spacing w:val="-2"/>
          <w:sz w:val="26"/>
          <w:szCs w:val="26"/>
          <w:lang w:val="vi-VN"/>
        </w:rPr>
      </w:pPr>
      <w:r w:rsidRPr="00034921">
        <w:rPr>
          <w:i/>
          <w:iCs/>
          <w:noProof/>
          <w:color w:val="000000" w:themeColor="text1"/>
          <w:spacing w:val="-2"/>
          <w:sz w:val="26"/>
          <w:szCs w:val="26"/>
          <w:lang w:val="vi-VN"/>
        </w:rPr>
        <w:t>Đối với thủ tục đề nghị hưởng miễn trừ đối với thỏa thuận hạn chế cạnh tranh bị cấm</w:t>
      </w:r>
    </w:p>
    <w:p w14:paraId="6D32073B" w14:textId="77777777" w:rsidR="00A97C72" w:rsidRPr="00034921" w:rsidRDefault="00A97C72" w:rsidP="00D31383">
      <w:pPr>
        <w:spacing w:before="120" w:after="120" w:line="340" w:lineRule="exact"/>
        <w:ind w:firstLine="709"/>
        <w:jc w:val="both"/>
        <w:rPr>
          <w:noProof/>
          <w:color w:val="000000" w:themeColor="text1"/>
          <w:spacing w:val="-2"/>
          <w:sz w:val="26"/>
          <w:szCs w:val="26"/>
          <w:lang w:val="vi-VN"/>
        </w:rPr>
      </w:pPr>
      <w:r w:rsidRPr="00034921">
        <w:rPr>
          <w:noProof/>
          <w:color w:val="000000" w:themeColor="text1"/>
          <w:spacing w:val="-2"/>
          <w:sz w:val="26"/>
          <w:szCs w:val="26"/>
          <w:lang w:val="vi-VN"/>
        </w:rPr>
        <w:t xml:space="preserve">Giải pháp 2 tiếp tục duy trì cách tiếp cận quy định chi tiết, cứng nhắc và hình thức hóa thành phần hồ sơ đề nghị hưởng miễn trừ trong Luật Cạnh tranh, các bất cập hiện hành không những không được khắc phục mà còn có nguy cơ bị kéo dài và “luật hóa”. Điều này dẫn đến gia tăng chi phí tuân thủ cho doanh nghiệp, làm giảm chất lượng thẩm định của cơ quan nhà nước, hạn chế hiệu quả thực chất của cơ chế miễn trừ và làm suy </w:t>
      </w:r>
      <w:r w:rsidRPr="00034921">
        <w:rPr>
          <w:noProof/>
          <w:color w:val="000000" w:themeColor="text1"/>
          <w:spacing w:val="-2"/>
          <w:sz w:val="26"/>
          <w:szCs w:val="26"/>
          <w:lang w:val="vi-VN"/>
        </w:rPr>
        <w:lastRenderedPageBreak/>
        <w:t>giảm vai trò của công cụ này trong việc thúc đẩy hợp tác hợp pháp và nâng cao phúc lợi kinh tế – xã hội. Cụ thể:</w:t>
      </w:r>
    </w:p>
    <w:p w14:paraId="334C51DA"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Đối với cơ quan nhà nước:</w:t>
      </w:r>
    </w:p>
    <w:p w14:paraId="11ECF5EF"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Đối với cơ quan thực thi pháp luật cạnh tranh, việc duy trì các yêu cầu hồ sơ mang tính hình thức và cứng nhắc ngay trong luật có thể làm giảm chất lượng và hiệu quả thực chất của hoạt động thẩm định. Khi hồ sơ tập trung vào “dự thảo thỏa thuận” được tách rời khỏi hợp đồng hoặc mô hình hợp tác thực tế, cơ quan quản lý có nguy cơ đánh giá tác động cạnh tranh trên cơ sở thông tin không đầy đủ hoặc bị đơn giản hóa, không phản ánh đúng bản chất kinh tế của giao dịch.</w:t>
      </w:r>
    </w:p>
    <w:p w14:paraId="4AA38E37"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Điều này không chỉ làm tăng thời gian và nguồn lực cần thiết cho việc yêu cầu bổ sung, giải trình hồ sơ mà còn làm giảm hiệu quả sử dụng nguồn lực quản lý nhà nước, do phải xử lý các hồ sơ có chất lượng thông tin thấp hoặc không phù hợp với thực tiễn giao dịch. Về lâu dài, cơ chế miễn trừ có thể trở nên kém hấp dẫn, số lượng hồ sơ chất lượng thấp gia tăng hoặc doanh nghiệp né tránh cơ chế này, khiến công cụ miễn trừ không phát huy được vai trò điều tiết mềm trong chính sách cạnh tranh, đồng thời làm suy giảm hiệu quả chung của hệ thống thực thi pháp luật cạnh tranh.</w:t>
      </w:r>
    </w:p>
    <w:p w14:paraId="7F93BD40"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Kinh nghiệm quốc tế cho thấy cơ chế miễn trừ được thiết kế và vận hành hiệu quả khi tiếp cận dựa trên bản chất kinh tế của thỏa thuận, thay vì hình thức hồ sơ mang tính kỹ thuật. Tại Singapore, Cơ quan cạnh tranh Xing-ga-po (Competition and Consumer Commission of Singapore) khi xem xét hoặc áp dụng miễn trừ theo nhóm (block exemption), đặc biệt trong lĩnh vực hàng không, không yêu cầu doanh nghiệp lập “dự thảo thỏa thuận hạn chế cạnh tranh” riêng biệt, mà đánh giá trực tiếp các hợp đồng hợp tác thực tế như liên doanh khai thác, liên minh chiến lược, code-sharing hoặc các thỏa thuận phối hợp lịch bay và dung lượng. Cách tiếp cận này cho phép cơ quan cạnh tranh xem xét thỏa thuận trong tổng thể cấu trúc quyền và nghĩa vụ của các bên, gắn với bối cảnh thị trường và hiệu quả kinh tế – kỹ thuật, qua đó bảo đảm đánh giá đúng tác động cạnh tranh, giảm chi phí tuân thủ và tăng tính khả thi của cơ chế miễn trừ. Kinh nghiệm này cho thấy việc tránh hình thức hóa thành phần hồ sơ và lấy hợp đồng/hình thức hợp tác thực tế làm cơ sở thẩm định là hướng đi phù hợp để nâng cao hiệu quả thực chất của chính sách miễn trừ trong pháp luật cạnh tranh.</w:t>
      </w:r>
    </w:p>
    <w:p w14:paraId="61D04851"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 Đối với doanh nghiệp: </w:t>
      </w:r>
    </w:p>
    <w:p w14:paraId="0E73463D"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tiếp tục quy định chi tiết và mang tính cứng nhắc về thành phần hồ sơ đề nghị hưởng miễn trừ và hồ sơ tham vấn ngay trong Luật Cạnh tranh, đặc biệt là yêu cầu nộp “dự thảo nội dung thỏa thuận giữa các bên”, có thể kéo dài và thể chế hóa các bất cập đã tồn tại trong quy định hiện hành. Trong thực tiễn, các thỏa thuận hạn chế cạnh tranh thường không tồn tại như một văn bản độc lập mà được lồng ghép trong các hợp đồng kinh tế tổng thể hoặc các mô hình hợp tác phức hợp. Do đó, việc buộc doanh nghiệp phải tách chiết các điều khoản có yếu tố hạn chế cạnh tranh để lập thành một dự thảo riêng mang tính hình thức, khiên cưỡng và không phản ánh đầy đủ bối cảnh kinh tế – pháp lý của thỏa thuận.</w:t>
      </w:r>
    </w:p>
    <w:p w14:paraId="775A3A78"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lastRenderedPageBreak/>
        <w:t>Cách tiếp cận này làm gia tăng đáng kể chi phí tuân thủ, bao gồm chi phí tư vấn pháp lý, chi phí nhân sự và thời gian chuẩn bị hồ sơ, đồng thời làm tăng rủi ro pháp lý cho doanh nghiệp do nguy cơ diễn giải không đầy đủ hoặc sai lệch bản chất của thỏa thuận khi bị “cắt khúc” khỏi hợp đồng tổng thể. Hệ quả là doanh nghiệp có thể trở nên e ngại trong việc tiếp cận cơ chế miễn trừ, làm giảm vai trò của cơ chế này như một công cụ khuyến khích tuân thủ tự nguyện và thúc đẩy các hình thức hợp tác hợp pháp, hiệu quả về kinh tế – kỹ thuật.</w:t>
      </w:r>
    </w:p>
    <w:p w14:paraId="5B820328"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Đối với thủ tục thông báo tập trung kinh tế: </w:t>
      </w:r>
    </w:p>
    <w:p w14:paraId="25BFEF39"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Đối với cơ quan nhà nước:</w:t>
      </w:r>
    </w:p>
    <w:p w14:paraId="4F492171"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Đối với cơ quan quản lý cạnh tranh, Giải pháp 2 có thể dẫn đến việc tiếp tục phải tiếp nhận và xử lý số lượng lớn hồ sơ thông báo tập trung kinh tế đối với các giao dịch không có hoặc có rất ít khả năng gây tác động hạn chế cạnh tranh đến thị trường Việt Nam. Điều này làm tốn thời gian, nhân lực và chi phí hành chính, đồng thời làm phân tán nguồn lực quản lý đáng lẽ có thể tập trung cho các vụ việc phức tạp, có rủi ro cạnh tranh cao.</w:t>
      </w:r>
    </w:p>
    <w:p w14:paraId="4394CDAF"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phải thẩm định cả các giao dịch rủi ro thấp cũng có thể kéo dài tổng thời gian xử lý trung bình, gây áp lực lên bộ máy thực thi và làm giảm hiệu quả sử dụng nguồn lực nhà nước. Trong dài hạn, nếu khối lượng hồ sơ tăng theo xu hướng gia tăng hoạt động mua bán, sáp nhập, cơ quan quản lý có thể phải tăng chi phí vận hành hoặc bổ sung nhân sự, làm phát sinh gánh nặng ngân sách.</w:t>
      </w:r>
    </w:p>
    <w:p w14:paraId="3EA3800D"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 Đối với doanh nghiệp: </w:t>
      </w:r>
    </w:p>
    <w:p w14:paraId="2174458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Mặc dù Giải pháp 2 góp phần khắc phục một phần các hạn chế của quy định hiện hành, nhưng chưa xử lý triệt để bất cập liên quan đến các hình thức tập trung kinh tế. Trong thực tiễn, nhiều giao dịch mang tính nội bộ hoặc có quy mô, phạm vi hoạt động không có khả năng gây tác động hạn chế cạnh tranh đáng kể đến thị trường Việt Nam vẫn phải thực hiện nghĩa vụ thông báo tập trung kinh tế, dẫn đến phát sinh chi phí tuân thủ và chi phí cơ hội cho doanh nghiệp.</w:t>
      </w:r>
    </w:p>
    <w:p w14:paraId="049BCE2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quy định chi tiết một số nội dung về thủ tục ngay trong Luật, bao gồm thời hạn thực hiện các điều kiện đối với tập trung kinh tế có điều kiện, theo hướng áp dụng thống nhất cho mọi trường hợp, có thể không phù hợp với đặc thù của từng ngành, lĩnh vực sản xuất – kinh doanh. Trong một số ngành có chu kỳ đầu tư dài, phụ thuộc vào yếu tố công nghệ, hạ tầng hoặc phê duyệt chuyên ngành, việc áp dụng thời hạn cứng có thể làm giảm tính linh hoạt trong tổ chức thực hiện giao dịch, gia tăng rủi ro chậm tiến độ hoặc phát sinh chi phí điều chỉnh kế hoạch kinh doanh.</w:t>
      </w:r>
    </w:p>
    <w:p w14:paraId="68401836"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Ngoài ra, dù thủ tục được đơn giản hóa về hình thức, doanh nghiệp vẫn phải duy trì nguồn lực để chuẩn bị hồ sơ và theo dõi quá trình thẩm định đối với các giao dịch có rủi ro cạnh tranh thấp, làm tăng chi phí tuân thủ không cần thiết so với mức độ rủi ro thực tế của giao dịch.</w:t>
      </w:r>
    </w:p>
    <w:p w14:paraId="7DEDC759" w14:textId="7732BFB0" w:rsidR="00A97C72" w:rsidRPr="00034921" w:rsidRDefault="00102578" w:rsidP="00D31383">
      <w:pPr>
        <w:spacing w:before="120" w:after="120" w:line="340" w:lineRule="exact"/>
        <w:ind w:firstLine="709"/>
        <w:jc w:val="both"/>
        <w:rPr>
          <w:b/>
          <w:bCs/>
          <w:i/>
          <w:iCs/>
          <w:noProof/>
          <w:color w:val="000000" w:themeColor="text1"/>
          <w:sz w:val="26"/>
          <w:szCs w:val="26"/>
          <w:lang w:val="vi-VN"/>
        </w:rPr>
      </w:pPr>
      <w:r w:rsidRPr="00034921">
        <w:rPr>
          <w:b/>
          <w:bCs/>
          <w:i/>
          <w:iCs/>
          <w:noProof/>
          <w:color w:val="000000" w:themeColor="text1"/>
          <w:sz w:val="26"/>
          <w:szCs w:val="26"/>
          <w:lang w:val="vi-VN"/>
        </w:rPr>
        <w:lastRenderedPageBreak/>
        <w:t xml:space="preserve">- </w:t>
      </w:r>
      <w:r w:rsidR="00A97C72" w:rsidRPr="00034921">
        <w:rPr>
          <w:b/>
          <w:bCs/>
          <w:i/>
          <w:iCs/>
          <w:noProof/>
          <w:color w:val="000000" w:themeColor="text1"/>
          <w:sz w:val="26"/>
          <w:szCs w:val="26"/>
          <w:lang w:val="vi-VN"/>
        </w:rPr>
        <w:t xml:space="preserve">Tác động về giới: </w:t>
      </w:r>
      <w:r w:rsidR="00A97C72" w:rsidRPr="00034921">
        <w:rPr>
          <w:noProof/>
          <w:color w:val="000000" w:themeColor="text1"/>
          <w:sz w:val="26"/>
          <w:szCs w:val="26"/>
          <w:lang w:val="vi-VN"/>
        </w:rPr>
        <w:t>Chính sách không tạo ra sự phân biệt đối xử về giới, không đặt ra quy định riêng đối với nam hoặc nữ, tác động của chính sách là trung tính về giới.</w:t>
      </w:r>
    </w:p>
    <w:p w14:paraId="2605AB94" w14:textId="64FBFF77" w:rsidR="00A97C72" w:rsidRPr="00034921" w:rsidRDefault="00102578" w:rsidP="00D31383">
      <w:pPr>
        <w:spacing w:before="120" w:after="120" w:line="340" w:lineRule="exact"/>
        <w:ind w:firstLine="709"/>
        <w:jc w:val="both"/>
        <w:rPr>
          <w:b/>
          <w:bCs/>
          <w:i/>
          <w:iCs/>
          <w:noProof/>
          <w:color w:val="000000" w:themeColor="text1"/>
          <w:sz w:val="26"/>
          <w:szCs w:val="26"/>
          <w:lang w:val="vi-VN"/>
        </w:rPr>
      </w:pPr>
      <w:r w:rsidRPr="00034921">
        <w:rPr>
          <w:b/>
          <w:bCs/>
          <w:i/>
          <w:iCs/>
          <w:noProof/>
          <w:color w:val="000000" w:themeColor="text1"/>
          <w:sz w:val="26"/>
          <w:szCs w:val="26"/>
          <w:lang w:val="vi-VN"/>
        </w:rPr>
        <w:t xml:space="preserve">- </w:t>
      </w:r>
      <w:r w:rsidR="00A97C72" w:rsidRPr="00034921">
        <w:rPr>
          <w:b/>
          <w:bCs/>
          <w:i/>
          <w:iCs/>
          <w:noProof/>
          <w:color w:val="000000" w:themeColor="text1"/>
          <w:sz w:val="26"/>
          <w:szCs w:val="26"/>
          <w:lang w:val="vi-VN"/>
        </w:rPr>
        <w:t xml:space="preserve">Tác động về thủ tục hành chính: </w:t>
      </w:r>
    </w:p>
    <w:p w14:paraId="42940530" w14:textId="14137444" w:rsidR="00A97C72" w:rsidRPr="00034921" w:rsidRDefault="00102578"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 </w:t>
      </w:r>
      <w:r w:rsidR="00A97C72" w:rsidRPr="00034921">
        <w:rPr>
          <w:noProof/>
          <w:color w:val="000000" w:themeColor="text1"/>
          <w:sz w:val="26"/>
          <w:szCs w:val="26"/>
          <w:lang w:val="vi-VN"/>
        </w:rPr>
        <w:t xml:space="preserve">Tích cực: </w:t>
      </w:r>
    </w:p>
    <w:p w14:paraId="4397D3A9"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Đối với thủ tục đề nghị hưởng miễn trừ đối với thỏa thuận hạn chế cạnh tranh bị cấm</w:t>
      </w:r>
    </w:p>
    <w:p w14:paraId="329FD057"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quy định rõ ràng, thống nhất về thành phần hồ sơ đề nghị hưởng miễn trừ đối với thỏa thuận hạn chế cạnh tranh bị cấm và hồ sơ tham vấn trong quá trình xem xét hồ sơ ngay trong luật giúp doanh nghiệp chủ động trong công tác chuẩn bị tài liệu, hạn chế tình trạng phải giải trình, bổ sung nhiều lần do cách hiểu và áp dụng không thống nhất giữa các chủ thể liên quan, làm tăng tính minh bạch, khả năng dự đoán và sự ổn định pháp lý, tạo thuận lợi cho doanh nghiệp trong việc thực hiện thủ tục đề nghị hưởng miễn trừ đối với thỏa thuận hạn chế cạnh tranh theo Luật Cạnh tranh.</w:t>
      </w:r>
    </w:p>
    <w:p w14:paraId="38085A32" w14:textId="77777777" w:rsidR="00A97C72" w:rsidRPr="00034921" w:rsidRDefault="00A97C72" w:rsidP="00D31383">
      <w:pPr>
        <w:spacing w:before="120" w:after="120" w:line="340" w:lineRule="exact"/>
        <w:ind w:firstLine="709"/>
        <w:jc w:val="both"/>
        <w:rPr>
          <w:i/>
          <w:iCs/>
          <w:noProof/>
          <w:color w:val="000000" w:themeColor="text1"/>
          <w:sz w:val="26"/>
          <w:szCs w:val="26"/>
          <w:lang w:val="vi-VN"/>
        </w:rPr>
      </w:pPr>
      <w:r w:rsidRPr="00034921">
        <w:rPr>
          <w:i/>
          <w:iCs/>
          <w:noProof/>
          <w:color w:val="000000" w:themeColor="text1"/>
          <w:sz w:val="26"/>
          <w:szCs w:val="26"/>
          <w:lang w:val="vi-VN"/>
        </w:rPr>
        <w:t xml:space="preserve">Đối với thủ tục thông báo tập trung kinh tế: </w:t>
      </w:r>
    </w:p>
    <w:p w14:paraId="3378F9AB"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Giải pháp 2 không ban hành mới và không làm phát sinh thêm thủ tục hành chính, mà tập trung rà soát, sửa đổi, hoàn thiện các thủ tục hiện hành theo hướng đơn giản hóa và minh bạch hóa. Việc sửa đổi, bổ sung theo hướng quy định rõ ràng, thống nhất về thành phần hồ sơ đề nghị hưởng miễn trừ đối với thỏa thuận hạn chế cạnh tranh bị cấm và hồ sơ tham vấn trong quá trình xem xét hồ sơ; thành phần hồ sơ, trình tự và thủ tục thẩm định tập trung kinh tế góp phần loại bỏ các yêu cầu chưa thực sự cần thiết, qua đó giảm chi phí tuân thủ và thời gian thực hiện thủ tục cho doanh nghiệp. </w:t>
      </w:r>
    </w:p>
    <w:p w14:paraId="430EF63A"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Chính sách tạo cơ sở pháp lý để triển khai các phương án đơn giản hóa thủ tục hành chính trong lĩnh vực cạnh tranh theo Nghị quyết số 66.7/2025/NQ-CP của Chính phủ, bao gồm tinh gọn thành phần hồ sơ, chuẩn hóa thông tin cần cung cấp và rút ngắn quy trình xem xét, thẩm định đối với các giao dịch tập trung kinh tế có rủi ro cạnh tranh thấp. </w:t>
      </w:r>
    </w:p>
    <w:p w14:paraId="3008F87F"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Đồng thời, việc đơn giản hóa thủ tục tham vấn trong quá trình thẩm định hồ sơ thông báo tập trung kinh tế và thủ tục tham vấn trong quá trình đề nghị hưởng miễn trừ theo Quyết định số 1643/QĐ-TTg góp phần giảm số bước trung gian và giảm mức độ can thiệp hành chính không cần thiết.</w:t>
      </w:r>
    </w:p>
    <w:p w14:paraId="6331E96A"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Việc quy định rõ hơn các yêu cầu về hồ sơ và trình tự ngay trong Luật giúp nâng cao tính minh bạch, khả năng dự đoán và tính thống nhất trong áp dụng thủ tục hành chính, tạo thuận lợi cho cả cơ quan giải quyết thủ tục và doanh nghiệp trong quá trình thực hiện thủ tục đề nghị hưởng miễn trừ đối với thỏa thuận hạn chế cạnh tranh bị cấm và thủ tục thông báo tập trung kinh tế.</w:t>
      </w:r>
    </w:p>
    <w:p w14:paraId="0CD47A14" w14:textId="25C7F730" w:rsidR="00A97C72" w:rsidRPr="00034921" w:rsidRDefault="00102578"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 </w:t>
      </w:r>
      <w:r w:rsidR="00A97C72" w:rsidRPr="00034921">
        <w:rPr>
          <w:noProof/>
          <w:color w:val="000000" w:themeColor="text1"/>
          <w:sz w:val="26"/>
          <w:szCs w:val="26"/>
          <w:lang w:val="vi-VN"/>
        </w:rPr>
        <w:t xml:space="preserve">Tiêu cực: </w:t>
      </w:r>
    </w:p>
    <w:p w14:paraId="4E5BFA53"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lastRenderedPageBreak/>
        <w:t>Giải pháp 2 tiềm ẩn những hạn chế đáng kể, chủ yếu xuất phát từ cách tiếp cận quy định tương đối chi tiết các nội dung thủ tục hành chính ngay trong Luật, làm thu hẹp không gian điều chỉnh linh hoạt của chính sách.</w:t>
      </w:r>
    </w:p>
    <w:p w14:paraId="399F30AC"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nhất, việc “quy định cứng” các yêu cầu về thành phần hồ sơ, trình tự, thủ tục và thời hạn ở cấp luật làm giảm khả năng thích ứng của chính sách trong bối cảnh thị trường biến động nhanh. Đối với các thị trường có hàm lượng công nghệ cao và thị trường số, nơi cấu trúc thị trường, mô hình kinh doanh và mức độ tập trung thay đổi thường xuyên, nhu cầu điều chỉnh thủ tục là tất yếu. Tuy nhiên, khi các nội dung này đã được quy định chi tiết trong Luật, mọi điều chỉnh đều phải thông qua quy trình sửa đổi luật phức tạp và kéo dài, làm giảm tính kịp thời của công cụ quản lý cạnh tranh.</w:t>
      </w:r>
    </w:p>
    <w:p w14:paraId="2B1B0D41"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hai, các quy định thủ tục hành chính được thiết kế phù hợp tại thời điểm ban hành luật có nguy cơ nhanh chóng lạc hậu trước sự thay đổi của điều kiện thị trường, mức độ hội nhập và thông lệ quốc tế. Trong bối cảnh đó, quy định chi tiết tại luật không những không hỗ trợ mà còn có thể trở thành rào cản đối với việc áp dụng các phương pháp xem xét, thẩm định linh hoạt, dựa trên mức độ rủi ro và bản chất kinh tế của thỏa thuận hạn chế cạnh tranh và giao dịch tập trung kinh tế.</w:t>
      </w:r>
    </w:p>
    <w:p w14:paraId="47D83720"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ba, việc quy định quá chi tiết trong luật thu hẹp dư địa ban hành hướng dẫn kỹ thuật và điều chỉnh thực tiễn áp dụng của cơ quan cạnh tranh. Khi không gian chính sách bị giới hạn, cơ quan quản lý thiếu công cụ pháp lý để linh hoạt xử lý các tình huống mới phát sinh hoặc các mô hình giao dịch chưa được dự liệu đầy đủ, dễ dẫn đến tình trạng tuân thủ mang tính hình thức, trong đó doanh nghiệp tập trung đáp ứng yêu cầu hồ sơ, còn mục tiêu kiểm soát hiệu quả tác động cạnh tranh lại không được bảo đảm tương xứng.</w:t>
      </w:r>
    </w:p>
    <w:p w14:paraId="4CC7AF86"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tư, trong dài hạn, cách tiếp cận này làm gia tăng mâu thuẫn giữa yêu cầu ổn định của Luật và yêu cầu thích ứng của thực tiễn thị trường. Sự thiếu linh hoạt kéo dài có thể làm suy giảm hiệu quả chung của chính sách cạnh tranh, khi pháp luật không theo kịp sự phát triển của thị trường, từ đó ảnh hưởng đến mục tiêu bảo vệ cạnh tranh lành mạnh và thúc đẩy hiệu quả kinh tế.</w:t>
      </w:r>
    </w:p>
    <w:p w14:paraId="23A58CE9"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Thứ năm, việc triển khai Giải pháp 2 làm phát sinh yêu cầu phải sửa đổi, cập nhật các thủ tục hành chính hiện hành, cụ thể gồm: (1) thủ tục về hồ sơ đề nghị hưởng miễn trừ đối với thỏa thuận hạn chế cạnh tranh bị cấm; (2) thủ tục về cách thức thực hiện, thành phần và số lượng hồ sơ tham vấn trong quá trình xem xét hồ sơ đề nghị hưởng miễn trừ đối với thỏa thuận hạn chế cạnh tranh bị cấm; (3) thủ tục về hồ sơ thông báo tập trung kinh tế và (4) thủ tục về cách thức thực hiện, thành phần và số lượng hồ sơ tham vấn trong quá trình thẩm định hồ sơ thông báo tập trung kinh tế. Quá trình điều chỉnh này làm gia tăng khối lượng công việc hành chính liên quan đến việc rà soát, ban hành lại biểu mẫu, quy trình nội bộ và công bố lại thủ tục hành chính theo quy định.</w:t>
      </w:r>
    </w:p>
    <w:p w14:paraId="211B895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Thứ sáu, trong giai đoạn chuyển tiếp, sự thay đổi về thành phần hồ sơ và cách thức thực hiện có thể dẫn đến tình trạng áp dụng chưa thống nhất giữa các cơ quan, đơn vị có liên quan, làm tăng số lượng yêu cầu bổ sung, chỉnh sửa hồ sơ và kéo dài thời gian </w:t>
      </w:r>
      <w:r w:rsidRPr="00034921">
        <w:rPr>
          <w:noProof/>
          <w:color w:val="000000" w:themeColor="text1"/>
          <w:sz w:val="26"/>
          <w:szCs w:val="26"/>
          <w:lang w:val="vi-VN"/>
        </w:rPr>
        <w:lastRenderedPageBreak/>
        <w:t>xử lý thực tế. Doanh nghiệp phải điều chỉnh quy trình tuân thủ nội bộ, cập nhật hệ thống biểu mẫu và hướng dẫn pháp lý, làm phát sinh chi phí hành chính và chi phí thích ứng.</w:t>
      </w:r>
    </w:p>
    <w:p w14:paraId="38704EAE" w14:textId="46F2EC88" w:rsidR="00A97C72" w:rsidRPr="00034921" w:rsidRDefault="00A97C72" w:rsidP="00D31383">
      <w:pPr>
        <w:pStyle w:val="Heading1"/>
        <w:spacing w:line="340" w:lineRule="exact"/>
      </w:pPr>
      <w:r w:rsidRPr="00034921">
        <w:t>2.</w:t>
      </w:r>
      <w:r w:rsidR="00D31383">
        <w:rPr>
          <w:lang w:val="en-US"/>
        </w:rPr>
        <w:t>3</w:t>
      </w:r>
      <w:r w:rsidRPr="00034921">
        <w:t>.1.3.</w:t>
      </w:r>
      <w:r w:rsidR="00835332" w:rsidRPr="00034921">
        <w:t>2.</w:t>
      </w:r>
      <w:r w:rsidRPr="00034921">
        <w:t xml:space="preserve"> Giải pháp tối ưu được lựa chọn và lý do lựa chọn giải pháp</w:t>
      </w:r>
    </w:p>
    <w:p w14:paraId="47874A05"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Trên cơ sở phân tích tác động đối với hệ thống pháp luật, kinh tế – xã hội và thủ tục hành chính, có thể thấy cả hai giải pháp đều hướng tới mục tiêu đơn giản hóa thủ tục, nâng cao hiệu quả thực thi pháp luật cạnh tranh và tạo thuận lợi cho doanh nghiệp, tuy nhiên, Giải pháp 1 thể hiện rõ ưu thế hơn về tính bền vững, linh hoạt và phù hợp với định hướng cải cách thể chế hiện nay, qua đó là phương án cần được ưu tiên lựa chọn.</w:t>
      </w:r>
    </w:p>
    <w:p w14:paraId="2C2F6F5E" w14:textId="77777777" w:rsidR="00A97C72" w:rsidRPr="00034921" w:rsidRDefault="00A97C72"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Cụ thể, Giải pháp 1 tiếp cận theo hướng luật khung, quy định các nguyên tắc chung và giao Chính phủ quy định chi tiết về thành phần hồ sơ, trình tự, thủ tục và thời hạn thực hiện, qua đó bảo đảm sự phân định hợp lý giữa quy định mang tính nguyên tắc ở cấp luật và quy định mang tính kỹ thuật, thường xuyên biến động ở cấp văn bản dưới luật. Cách tiếp cận này phù hợp với thẩm quyền ban hành văn bản theo Luật Ban hành văn bản quy phạm pháp luật, phù hợp với chủ trương đổi mới công tác xây dựng pháp luật theo hướng kiến tạo phát triển, hạn chế “luật hóa” các nội dung mang tính kỹ thuật, đồng thời tạo điều kiện cho cơ quan quản lý kịp thời điều chỉnh chính sách để thích ứng với sự thay đổi nhanh của thị trường, mô hình kinh doanh và thông lệ quốc tế trong lĩnh vực cạnh tranh.</w:t>
      </w:r>
    </w:p>
    <w:p w14:paraId="32D042EA" w14:textId="77777777" w:rsidR="00A97C72" w:rsidRPr="00034921" w:rsidRDefault="00A97C72" w:rsidP="00D31383">
      <w:pPr>
        <w:spacing w:before="120" w:after="120" w:line="340" w:lineRule="exact"/>
        <w:ind w:firstLine="709"/>
        <w:jc w:val="both"/>
        <w:rPr>
          <w:noProof/>
          <w:color w:val="000000" w:themeColor="text1"/>
          <w:spacing w:val="-2"/>
          <w:sz w:val="26"/>
          <w:szCs w:val="26"/>
          <w:lang w:val="vi-VN"/>
        </w:rPr>
      </w:pPr>
      <w:r w:rsidRPr="00034921">
        <w:rPr>
          <w:noProof/>
          <w:color w:val="000000" w:themeColor="text1"/>
          <w:spacing w:val="-2"/>
          <w:sz w:val="26"/>
          <w:szCs w:val="26"/>
          <w:lang w:val="vi-VN"/>
        </w:rPr>
        <w:t>Về hiệu quả kinh tế – xã hội, Giải pháp 1 cho phép linh hoạt thiết kế và điều chỉnh thành phần hồ sơ, quy trình xử lý theo mức độ rủi ro cạnh tranh của từng loại giao dịch, qua đó giảm chi phí tuân thủ cho doanh nghiệp, đặc biệt là đối với các giao dịch có khả năng gây tác động hạn chế cạnh tranh thấp, đồng thời giúp cơ quan nhà nước tập trung nguồn lực vào các vụ việc phức tạp, có nguy cơ hạn chế cạnh tranh đáng kể. Việc giao Chính phủ quy định chi tiết cũng tạo điều kiện thuận lợi cho cải cách thủ tục hành chính, chuyển đổi số, chuẩn hóa và sử dụng dữ liệu điện tử, góp phần nâng cao hiệu quả quản lý nhà nước, giảm chi phí hành chính và cải thiện chất lượng dịch vụ công trong lĩnh vực cạnh tranh.</w:t>
      </w:r>
    </w:p>
    <w:p w14:paraId="7AA3D5B5" w14:textId="77777777" w:rsidR="00A97C72" w:rsidRPr="009F4D93" w:rsidRDefault="00A97C72" w:rsidP="00D31383">
      <w:pPr>
        <w:spacing w:before="120" w:after="120" w:line="340" w:lineRule="exact"/>
        <w:ind w:firstLine="709"/>
        <w:jc w:val="both"/>
        <w:rPr>
          <w:noProof/>
          <w:color w:val="000000" w:themeColor="text1"/>
          <w:spacing w:val="2"/>
          <w:sz w:val="26"/>
          <w:szCs w:val="26"/>
          <w:lang w:val="vi-VN"/>
        </w:rPr>
      </w:pPr>
      <w:r w:rsidRPr="009F4D93">
        <w:rPr>
          <w:noProof/>
          <w:color w:val="000000" w:themeColor="text1"/>
          <w:spacing w:val="2"/>
          <w:sz w:val="26"/>
          <w:szCs w:val="26"/>
          <w:lang w:val="vi-VN"/>
        </w:rPr>
        <w:t>Trong khi đó, Giải pháp 2 lựa chọn cách tiếp cận sửa đổi, bổ sung trực tiếp và tương đối chi tiết các quy định về thành phần hồ sơ, trình tự, thủ tục để thực hiện các thủ tục hành chính ngay trong Luật Cạnh tranh. Mặc dù có ưu điểm về tính minh bạch và khả năng dự đoán trong ngắn hạn, nhưng cách tiếp cận này tiềm ẩn rủi ro làm giảm tính linh hoạt và giá trị lâu dài của Luật, do các nội dung mang tính kỹ thuật, dễ biến động bị “ấn định cứng” ở cấp luật. Khi thực tiễn thị trường, mô hình giao dịch tập trung kinh tế hoặc yêu cầu cải cách thủ tục hành chính thay đổi, việc điều chỉnh các quy định này sẽ phải thông qua quy trình sửa đổi luật kéo dài, dễ tạo độ trễ chính sách, làm giảm khả năng phản ứng kịp thời của pháp luật cạnh tranh trước các biến động của nền kinh tế.</w:t>
      </w:r>
    </w:p>
    <w:p w14:paraId="7A4A84A0" w14:textId="77777777" w:rsidR="00A97C72" w:rsidRPr="009F4D93" w:rsidRDefault="00A97C72" w:rsidP="00D31383">
      <w:pPr>
        <w:spacing w:before="120" w:after="120" w:line="340" w:lineRule="exact"/>
        <w:ind w:firstLine="709"/>
        <w:jc w:val="both"/>
        <w:rPr>
          <w:noProof/>
          <w:color w:val="000000" w:themeColor="text1"/>
          <w:spacing w:val="2"/>
          <w:sz w:val="26"/>
          <w:szCs w:val="26"/>
          <w:lang w:val="vi-VN"/>
        </w:rPr>
      </w:pPr>
      <w:r w:rsidRPr="009F4D93">
        <w:rPr>
          <w:noProof/>
          <w:color w:val="000000" w:themeColor="text1"/>
          <w:spacing w:val="2"/>
          <w:sz w:val="26"/>
          <w:szCs w:val="26"/>
          <w:lang w:val="vi-VN"/>
        </w:rPr>
        <w:t xml:space="preserve">Từ góc độ bảo đảm tính thống nhất của hệ thống pháp luật, Giải pháp 1 có ưu thế hơn khi cho phép đồng bộ hóa các quy định về thủ tục hành chính trong lĩnh vực cạnh tranh với pháp luật về thủ tục hành chính, chuyển đổi số và các pháp luật chuyên </w:t>
      </w:r>
      <w:r w:rsidRPr="009F4D93">
        <w:rPr>
          <w:noProof/>
          <w:color w:val="000000" w:themeColor="text1"/>
          <w:spacing w:val="2"/>
          <w:sz w:val="26"/>
          <w:szCs w:val="26"/>
          <w:lang w:val="vi-VN"/>
        </w:rPr>
        <w:lastRenderedPageBreak/>
        <w:t>ngành có liên quan thông qua cơ chế điều chỉnh linh hoạt ở cấp nghị định. Ngược lại, Giải pháp 2 có nguy cơ thu hẹp không gian chính sách của cơ quan quản lý, làm phát sinh nhu cầu ban hành thêm các văn bản hướng dẫn mang tính giải thích để xử lý các tình huống chưa được luật dự liệu, từ đó làm phức tạp cấu trúc hệ thống pháp luật và gia tăng chi phí tuân thủ.</w:t>
      </w:r>
    </w:p>
    <w:p w14:paraId="0A2A9060" w14:textId="2D2B75E4" w:rsidR="006C621E" w:rsidRPr="009F4D93" w:rsidRDefault="00A97C72" w:rsidP="00D31383">
      <w:pPr>
        <w:spacing w:before="120" w:after="120" w:line="340" w:lineRule="exact"/>
        <w:ind w:firstLine="709"/>
        <w:jc w:val="both"/>
        <w:rPr>
          <w:noProof/>
          <w:color w:val="000000" w:themeColor="text1"/>
          <w:spacing w:val="2"/>
          <w:sz w:val="26"/>
          <w:szCs w:val="26"/>
          <w:lang w:val="vi-VN"/>
        </w:rPr>
      </w:pPr>
      <w:r w:rsidRPr="009F4D93">
        <w:rPr>
          <w:noProof/>
          <w:color w:val="000000" w:themeColor="text1"/>
          <w:spacing w:val="2"/>
          <w:sz w:val="26"/>
          <w:szCs w:val="26"/>
          <w:lang w:val="vi-VN"/>
        </w:rPr>
        <w:t>Trên cơ sở các phân tích nêu trên, có thể khẳng định việc ưu tiên lựa chọn Giải pháp 1 là phù hợp với định hướng cải cách thủ tục hành chính, hoàn thiện thể chế kinh tế thị trường và nâng cao hiệu lực, hiệu quả thực thi pháp luật cạnh tranh trong giai đoạn tới.</w:t>
      </w:r>
    </w:p>
    <w:p w14:paraId="0EAC36EC" w14:textId="3A8C340F" w:rsidR="00ED5C78" w:rsidRPr="00034921" w:rsidRDefault="00ED5C78" w:rsidP="00D31383">
      <w:pPr>
        <w:spacing w:before="120" w:after="120" w:line="340" w:lineRule="exact"/>
        <w:ind w:firstLine="709"/>
        <w:jc w:val="both"/>
        <w:rPr>
          <w:noProof/>
          <w:color w:val="000000" w:themeColor="text1"/>
          <w:sz w:val="26"/>
          <w:szCs w:val="26"/>
          <w:lang w:val="vi-VN"/>
        </w:rPr>
      </w:pPr>
      <w:r w:rsidRPr="00034921">
        <w:rPr>
          <w:noProof/>
          <w:color w:val="000000" w:themeColor="text1"/>
          <w:sz w:val="26"/>
          <w:szCs w:val="26"/>
          <w:lang w:val="vi-VN"/>
        </w:rPr>
        <w:t xml:space="preserve">Trên đây là nội dung Báo cáo đánh giá tác động các chính sách của Dự án Luật </w:t>
      </w:r>
      <w:r w:rsidR="009F4D93" w:rsidRPr="00BA0E6B">
        <w:rPr>
          <w:noProof/>
          <w:color w:val="000000" w:themeColor="text1"/>
          <w:sz w:val="26"/>
          <w:szCs w:val="26"/>
          <w:lang w:val="vi-VN"/>
        </w:rPr>
        <w:t>s</w:t>
      </w:r>
      <w:r w:rsidRPr="00034921">
        <w:rPr>
          <w:noProof/>
          <w:color w:val="000000" w:themeColor="text1"/>
          <w:sz w:val="26"/>
          <w:szCs w:val="26"/>
          <w:lang w:val="vi-VN"/>
        </w:rPr>
        <w:t>ửa đổi, bổ sung một số điều của Luật Thương mại, Luật Cạnh tranh, Luật Quản lý ngoại thương, Luật Bảo vệ quyền lợi người tiêu dùng gây hạn chế quyền con người, quyền công dân theo quy định của Hiến pháp, Bộ Công Thương xin báo cáo Chính phủ./.</w:t>
      </w:r>
    </w:p>
    <w:p w14:paraId="7FC3B2A7" w14:textId="77777777" w:rsidR="00ED5C78" w:rsidRPr="00ED5E38" w:rsidRDefault="00ED5C78" w:rsidP="00A86478">
      <w:pPr>
        <w:spacing w:before="120"/>
        <w:ind w:firstLine="567"/>
        <w:jc w:val="both"/>
        <w:rPr>
          <w:noProof/>
          <w:color w:val="000000" w:themeColor="text1"/>
          <w:sz w:val="26"/>
          <w:szCs w:val="26"/>
          <w:lang w:val="vi-VN"/>
        </w:rPr>
      </w:pPr>
    </w:p>
    <w:tbl>
      <w:tblPr>
        <w:tblW w:w="9588" w:type="dxa"/>
        <w:tblLayout w:type="fixed"/>
        <w:tblLook w:val="0000" w:firstRow="0" w:lastRow="0" w:firstColumn="0" w:lastColumn="0" w:noHBand="0" w:noVBand="0"/>
      </w:tblPr>
      <w:tblGrid>
        <w:gridCol w:w="4395"/>
        <w:gridCol w:w="5193"/>
      </w:tblGrid>
      <w:tr w:rsidR="00ED5C78" w:rsidRPr="00ED5E38" w14:paraId="4264D755" w14:textId="77777777" w:rsidTr="00BA0E6B">
        <w:tc>
          <w:tcPr>
            <w:tcW w:w="4395" w:type="dxa"/>
          </w:tcPr>
          <w:p w14:paraId="11A9B658" w14:textId="77777777" w:rsidR="00ED5C78" w:rsidRPr="00ED5E38" w:rsidRDefault="00ED5C78" w:rsidP="00A86478">
            <w:pPr>
              <w:spacing w:before="120"/>
              <w:jc w:val="both"/>
              <w:rPr>
                <w:b/>
                <w:i/>
                <w:noProof/>
                <w:color w:val="000000" w:themeColor="text1"/>
                <w:sz w:val="24"/>
                <w:szCs w:val="24"/>
                <w:lang w:val="vi-VN"/>
              </w:rPr>
            </w:pPr>
            <w:r w:rsidRPr="00ED5E38">
              <w:rPr>
                <w:b/>
                <w:i/>
                <w:noProof/>
                <w:color w:val="000000" w:themeColor="text1"/>
                <w:sz w:val="24"/>
                <w:szCs w:val="24"/>
                <w:lang w:val="vi-VN"/>
              </w:rPr>
              <w:t>Nơi nhận:</w:t>
            </w:r>
          </w:p>
          <w:p w14:paraId="36C5033E"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Như trên (để b/c);</w:t>
            </w:r>
          </w:p>
          <w:p w14:paraId="3F1A40FC"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Thủ tướng Chính phủ (để b/c);</w:t>
            </w:r>
          </w:p>
          <w:p w14:paraId="6D3BC6C1"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Các Phó Thủ tướng Chính phủ (để b/c);</w:t>
            </w:r>
          </w:p>
          <w:p w14:paraId="2944D7B2"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Văn phòng Quốc hội (để p/h);</w:t>
            </w:r>
          </w:p>
          <w:p w14:paraId="51138BA0"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Văn phòng Chính phủ (để p/h);</w:t>
            </w:r>
          </w:p>
          <w:p w14:paraId="75E0494C"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Bộ Tư pháp;</w:t>
            </w:r>
          </w:p>
          <w:p w14:paraId="3D33CEED" w14:textId="6AEF33DC" w:rsidR="003E4449" w:rsidRPr="00ED5E38" w:rsidRDefault="003E4449" w:rsidP="00A86478">
            <w:pPr>
              <w:rPr>
                <w:noProof/>
                <w:color w:val="000000" w:themeColor="text1"/>
                <w:sz w:val="22"/>
                <w:szCs w:val="22"/>
                <w:lang w:val="vi-VN"/>
              </w:rPr>
            </w:pPr>
            <w:r w:rsidRPr="00ED5E38">
              <w:rPr>
                <w:noProof/>
                <w:color w:val="000000" w:themeColor="text1"/>
                <w:sz w:val="22"/>
                <w:szCs w:val="22"/>
                <w:lang w:val="vi-VN"/>
              </w:rPr>
              <w:t>- Quyền Bộ trưởng (để b/c);</w:t>
            </w:r>
          </w:p>
          <w:p w14:paraId="3868D016" w14:textId="77777777"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Các Thứ trưởng;</w:t>
            </w:r>
          </w:p>
          <w:p w14:paraId="2803AFFD" w14:textId="3C50382A" w:rsidR="00ED5C78" w:rsidRPr="00ED5E38" w:rsidRDefault="00ED5C78" w:rsidP="00A86478">
            <w:pPr>
              <w:rPr>
                <w:noProof/>
                <w:color w:val="000000" w:themeColor="text1"/>
                <w:sz w:val="22"/>
                <w:szCs w:val="22"/>
                <w:lang w:val="vi-VN"/>
              </w:rPr>
            </w:pPr>
            <w:r w:rsidRPr="00ED5E38">
              <w:rPr>
                <w:noProof/>
                <w:color w:val="000000" w:themeColor="text1"/>
                <w:sz w:val="22"/>
                <w:szCs w:val="22"/>
                <w:lang w:val="vi-VN"/>
              </w:rPr>
              <w:t xml:space="preserve">- </w:t>
            </w:r>
            <w:r w:rsidR="00034921" w:rsidRPr="00034921">
              <w:rPr>
                <w:noProof/>
                <w:color w:val="000000" w:themeColor="text1"/>
                <w:sz w:val="22"/>
                <w:szCs w:val="22"/>
                <w:lang w:val="vi-VN"/>
              </w:rPr>
              <w:t xml:space="preserve">Các đơn vị: </w:t>
            </w:r>
            <w:r w:rsidR="00B74600" w:rsidRPr="00B74600">
              <w:rPr>
                <w:noProof/>
                <w:color w:val="000000" w:themeColor="text1"/>
                <w:sz w:val="22"/>
                <w:szCs w:val="22"/>
                <w:lang w:val="vi-VN"/>
              </w:rPr>
              <w:t xml:space="preserve">UBCTQG, </w:t>
            </w:r>
            <w:r w:rsidRPr="00ED5E38">
              <w:rPr>
                <w:noProof/>
                <w:color w:val="000000" w:themeColor="text1"/>
                <w:sz w:val="22"/>
                <w:szCs w:val="22"/>
                <w:lang w:val="vi-VN"/>
              </w:rPr>
              <w:t>TTTN,</w:t>
            </w:r>
            <w:r w:rsidR="00B74600" w:rsidRPr="00B74600">
              <w:rPr>
                <w:noProof/>
                <w:color w:val="000000" w:themeColor="text1"/>
                <w:sz w:val="22"/>
                <w:szCs w:val="22"/>
                <w:lang w:val="vi-VN"/>
              </w:rPr>
              <w:t xml:space="preserve"> </w:t>
            </w:r>
            <w:r w:rsidRPr="00ED5E38">
              <w:rPr>
                <w:noProof/>
                <w:color w:val="000000" w:themeColor="text1"/>
                <w:sz w:val="22"/>
                <w:szCs w:val="22"/>
                <w:lang w:val="vi-VN"/>
              </w:rPr>
              <w:t>XNK, XTTM;</w:t>
            </w:r>
          </w:p>
          <w:p w14:paraId="30834824" w14:textId="77777777" w:rsidR="00ED5C78" w:rsidRPr="00ED5E38" w:rsidRDefault="00ED5C78" w:rsidP="00A86478">
            <w:pPr>
              <w:rPr>
                <w:b/>
                <w:noProof/>
                <w:color w:val="000000" w:themeColor="text1"/>
                <w:sz w:val="22"/>
                <w:szCs w:val="22"/>
                <w:lang w:val="vi-VN"/>
              </w:rPr>
            </w:pPr>
            <w:r w:rsidRPr="00ED5E38">
              <w:rPr>
                <w:noProof/>
                <w:color w:val="000000" w:themeColor="text1"/>
                <w:sz w:val="22"/>
                <w:szCs w:val="22"/>
                <w:lang w:val="vi-VN"/>
              </w:rPr>
              <w:t>- Lưu: VT, PC (Anhnn).</w:t>
            </w:r>
          </w:p>
          <w:p w14:paraId="37734EA4" w14:textId="77777777" w:rsidR="00ED5C78" w:rsidRPr="00ED5E38" w:rsidRDefault="00ED5C78" w:rsidP="00A86478">
            <w:pPr>
              <w:spacing w:before="120"/>
              <w:jc w:val="both"/>
              <w:rPr>
                <w:noProof/>
                <w:color w:val="000000" w:themeColor="text1"/>
                <w:sz w:val="26"/>
                <w:szCs w:val="26"/>
                <w:lang w:val="vi-VN"/>
              </w:rPr>
            </w:pPr>
          </w:p>
        </w:tc>
        <w:tc>
          <w:tcPr>
            <w:tcW w:w="5193" w:type="dxa"/>
          </w:tcPr>
          <w:p w14:paraId="5D9CC0F1" w14:textId="75BF5D59" w:rsidR="00ED5C78" w:rsidRPr="00ED5E38" w:rsidRDefault="004F3757" w:rsidP="004F3757">
            <w:pPr>
              <w:jc w:val="center"/>
              <w:rPr>
                <w:b/>
                <w:noProof/>
                <w:color w:val="000000" w:themeColor="text1"/>
                <w:sz w:val="26"/>
                <w:szCs w:val="26"/>
                <w:lang w:val="vi-VN"/>
              </w:rPr>
            </w:pPr>
            <w:r w:rsidRPr="00ED5E38">
              <w:rPr>
                <w:b/>
                <w:noProof/>
                <w:color w:val="000000" w:themeColor="text1"/>
                <w:sz w:val="26"/>
                <w:szCs w:val="26"/>
                <w:lang w:val="vi-VN"/>
              </w:rPr>
              <w:t>KT</w:t>
            </w:r>
            <w:r w:rsidR="00ED5C78" w:rsidRPr="00ED5E38">
              <w:rPr>
                <w:b/>
                <w:noProof/>
                <w:color w:val="000000" w:themeColor="text1"/>
                <w:sz w:val="26"/>
                <w:szCs w:val="26"/>
                <w:lang w:val="vi-VN"/>
              </w:rPr>
              <w:t>. BỘ TRƯỞNG</w:t>
            </w:r>
          </w:p>
          <w:p w14:paraId="61A2D5CF" w14:textId="2E9DA269" w:rsidR="00ED5C78" w:rsidRPr="00ED5E38" w:rsidRDefault="004F3757" w:rsidP="004F3757">
            <w:pPr>
              <w:jc w:val="center"/>
              <w:rPr>
                <w:b/>
                <w:noProof/>
                <w:color w:val="000000" w:themeColor="text1"/>
                <w:sz w:val="26"/>
                <w:szCs w:val="26"/>
                <w:lang w:val="vi-VN"/>
              </w:rPr>
            </w:pPr>
            <w:r w:rsidRPr="00ED5E38">
              <w:rPr>
                <w:b/>
                <w:noProof/>
                <w:color w:val="000000" w:themeColor="text1"/>
                <w:sz w:val="26"/>
                <w:szCs w:val="26"/>
                <w:lang w:val="vi-VN"/>
              </w:rPr>
              <w:t>THỨ TRƯỞNG</w:t>
            </w:r>
          </w:p>
          <w:p w14:paraId="3EF1547E" w14:textId="77777777" w:rsidR="00ED5C78" w:rsidRPr="00ED5E38" w:rsidRDefault="00ED5C78" w:rsidP="004F3757">
            <w:pPr>
              <w:jc w:val="center"/>
              <w:rPr>
                <w:b/>
                <w:noProof/>
                <w:color w:val="000000" w:themeColor="text1"/>
                <w:sz w:val="26"/>
                <w:szCs w:val="26"/>
                <w:lang w:val="vi-VN"/>
              </w:rPr>
            </w:pPr>
          </w:p>
          <w:p w14:paraId="1BD348AD" w14:textId="77777777" w:rsidR="00ED5C78" w:rsidRPr="00FD5E31" w:rsidRDefault="00ED5C78" w:rsidP="004F3757">
            <w:pPr>
              <w:rPr>
                <w:b/>
                <w:noProof/>
                <w:color w:val="000000" w:themeColor="text1"/>
                <w:sz w:val="26"/>
                <w:szCs w:val="26"/>
                <w:lang w:val="vi-VN"/>
              </w:rPr>
            </w:pPr>
          </w:p>
          <w:p w14:paraId="29A8E6D0" w14:textId="77777777" w:rsidR="00A74A29" w:rsidRPr="00FD5E31" w:rsidRDefault="00A74A29" w:rsidP="004F3757">
            <w:pPr>
              <w:rPr>
                <w:b/>
                <w:noProof/>
                <w:color w:val="000000" w:themeColor="text1"/>
                <w:sz w:val="26"/>
                <w:szCs w:val="26"/>
                <w:lang w:val="vi-VN"/>
              </w:rPr>
            </w:pPr>
          </w:p>
          <w:p w14:paraId="1397CF98" w14:textId="02E72A5B" w:rsidR="00ED5C78" w:rsidRPr="00ED5E38" w:rsidRDefault="00ED5C78" w:rsidP="004F3757">
            <w:pPr>
              <w:jc w:val="center"/>
              <w:rPr>
                <w:b/>
                <w:noProof/>
                <w:color w:val="000000" w:themeColor="text1"/>
                <w:sz w:val="26"/>
                <w:szCs w:val="26"/>
                <w:lang w:val="vi-VN"/>
              </w:rPr>
            </w:pPr>
          </w:p>
          <w:p w14:paraId="7950899F" w14:textId="21BC8B2F" w:rsidR="004F3757" w:rsidRPr="00ED5E38" w:rsidRDefault="004F3757" w:rsidP="004F3757">
            <w:pPr>
              <w:jc w:val="center"/>
              <w:rPr>
                <w:b/>
                <w:noProof/>
                <w:color w:val="000000" w:themeColor="text1"/>
                <w:sz w:val="26"/>
                <w:szCs w:val="26"/>
                <w:lang w:val="vi-VN"/>
              </w:rPr>
            </w:pPr>
          </w:p>
          <w:p w14:paraId="59343C33" w14:textId="77777777" w:rsidR="004F3757" w:rsidRPr="00ED5E38" w:rsidRDefault="004F3757" w:rsidP="004F3757">
            <w:pPr>
              <w:jc w:val="center"/>
              <w:rPr>
                <w:b/>
                <w:noProof/>
                <w:color w:val="000000" w:themeColor="text1"/>
                <w:sz w:val="26"/>
                <w:szCs w:val="26"/>
                <w:lang w:val="vi-VN"/>
              </w:rPr>
            </w:pPr>
          </w:p>
          <w:p w14:paraId="6E639534" w14:textId="77777777" w:rsidR="004F3757" w:rsidRPr="00ED5E38" w:rsidRDefault="004F3757" w:rsidP="004F3757">
            <w:pPr>
              <w:jc w:val="center"/>
              <w:rPr>
                <w:b/>
                <w:noProof/>
                <w:color w:val="000000" w:themeColor="text1"/>
                <w:sz w:val="26"/>
                <w:szCs w:val="26"/>
                <w:lang w:val="vi-VN"/>
              </w:rPr>
            </w:pPr>
          </w:p>
          <w:p w14:paraId="4203BD48" w14:textId="684F1E11" w:rsidR="00ED5C78" w:rsidRPr="00ED5E38" w:rsidRDefault="004F3757" w:rsidP="004F3757">
            <w:pPr>
              <w:jc w:val="center"/>
              <w:rPr>
                <w:b/>
                <w:bCs/>
                <w:noProof/>
                <w:color w:val="000000" w:themeColor="text1"/>
                <w:sz w:val="26"/>
                <w:szCs w:val="26"/>
                <w:lang w:val="vi-VN"/>
              </w:rPr>
            </w:pPr>
            <w:r w:rsidRPr="00ED5E38">
              <w:rPr>
                <w:b/>
                <w:bCs/>
                <w:noProof/>
                <w:color w:val="000000" w:themeColor="text1"/>
                <w:sz w:val="26"/>
                <w:szCs w:val="26"/>
                <w:lang w:val="vi-VN"/>
              </w:rPr>
              <w:t>Nguyễn Sinh Nhật Tân</w:t>
            </w:r>
          </w:p>
          <w:p w14:paraId="24813C70" w14:textId="77777777" w:rsidR="00ED5C78" w:rsidRPr="00ED5E38" w:rsidRDefault="00ED5C78" w:rsidP="00A86478">
            <w:pPr>
              <w:spacing w:before="120"/>
              <w:jc w:val="center"/>
              <w:rPr>
                <w:noProof/>
                <w:color w:val="000000" w:themeColor="text1"/>
                <w:sz w:val="26"/>
                <w:szCs w:val="26"/>
                <w:lang w:val="vi-VN"/>
              </w:rPr>
            </w:pPr>
          </w:p>
          <w:p w14:paraId="2226B7C5" w14:textId="77777777" w:rsidR="00ED5C78" w:rsidRPr="00BA0E6B" w:rsidRDefault="00ED5C78" w:rsidP="00BA0E6B">
            <w:pPr>
              <w:spacing w:before="120"/>
              <w:rPr>
                <w:b/>
                <w:noProof/>
                <w:color w:val="000000" w:themeColor="text1"/>
                <w:sz w:val="26"/>
                <w:szCs w:val="26"/>
              </w:rPr>
            </w:pPr>
          </w:p>
        </w:tc>
      </w:tr>
    </w:tbl>
    <w:p w14:paraId="07CA9F76" w14:textId="56E88789" w:rsidR="00C01CA4" w:rsidRPr="00BA0E6B" w:rsidRDefault="00C01CA4" w:rsidP="008D1468">
      <w:pPr>
        <w:rPr>
          <w:b/>
          <w:bCs/>
          <w:noProof/>
          <w:color w:val="000000" w:themeColor="text1"/>
          <w:sz w:val="26"/>
          <w:szCs w:val="26"/>
        </w:rPr>
      </w:pPr>
    </w:p>
    <w:sectPr w:rsidR="00C01CA4" w:rsidRPr="00BA0E6B" w:rsidSect="00F10684">
      <w:headerReference w:type="default" r:id="rId12"/>
      <w:footerReference w:type="even" r:id="rId13"/>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186EC" w14:textId="77777777" w:rsidR="00F862E4" w:rsidRDefault="00F862E4" w:rsidP="00ED5C78">
      <w:r>
        <w:separator/>
      </w:r>
    </w:p>
  </w:endnote>
  <w:endnote w:type="continuationSeparator" w:id="0">
    <w:p w14:paraId="28A491D6" w14:textId="77777777" w:rsidR="00F862E4" w:rsidRDefault="00F862E4" w:rsidP="00ED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New Roman Bold Italic">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05922" w14:textId="77777777" w:rsidR="00582C1D" w:rsidRDefault="00582C1D" w:rsidP="00B3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8831E9" w14:textId="77777777" w:rsidR="00582C1D" w:rsidRDefault="00582C1D" w:rsidP="00B3591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BC1B3C" w14:textId="77777777" w:rsidR="00F862E4" w:rsidRDefault="00F862E4" w:rsidP="00ED5C78">
      <w:r>
        <w:separator/>
      </w:r>
    </w:p>
  </w:footnote>
  <w:footnote w:type="continuationSeparator" w:id="0">
    <w:p w14:paraId="684EBE8C" w14:textId="77777777" w:rsidR="00F862E4" w:rsidRDefault="00F862E4" w:rsidP="00ED5C78">
      <w:r>
        <w:continuationSeparator/>
      </w:r>
    </w:p>
  </w:footnote>
  <w:footnote w:id="1">
    <w:p w14:paraId="7E444467"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So với việc phân quyền, phân cấp tại Nghị định số 146/2025/NĐ-CP, Bộ Công Thương phân quyền, phân cấp thêm 12 nhiệm vụ theo Luật Hóa chất 2025 và Luật Sử dụng năng lượng tiết kiệm và hiệu quả (sửa đổi)  2025.</w:t>
      </w:r>
    </w:p>
  </w:footnote>
  <w:footnote w:id="2">
    <w:p w14:paraId="1C012F29" w14:textId="77777777" w:rsidR="00582C1D" w:rsidRPr="00966A0D" w:rsidRDefault="00582C1D" w:rsidP="00EC01A0">
      <w:pPr>
        <w:pStyle w:val="FootnoteText"/>
        <w:ind w:firstLine="567"/>
        <w:jc w:val="both"/>
        <w:rPr>
          <w:bCs/>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 Văn bản số  4843/BCT-XNK ngày 01/7/2025 của Bộ Công Thương v</w:t>
      </w:r>
      <w:r w:rsidRPr="00966A0D">
        <w:rPr>
          <w:bCs/>
          <w:noProof/>
          <w:sz w:val="18"/>
          <w:szCs w:val="18"/>
          <w:lang w:val="vi-VN"/>
        </w:rPr>
        <w:t>ề việc thực hiện các nhiệm vụ phân quyền, phan cấp trong lĩnh vực  xuất nhập khẩu;</w:t>
      </w:r>
    </w:p>
    <w:p w14:paraId="747B0897" w14:textId="77777777" w:rsidR="00582C1D" w:rsidRPr="00966A0D" w:rsidRDefault="00582C1D" w:rsidP="00EC01A0">
      <w:pPr>
        <w:tabs>
          <w:tab w:val="left" w:pos="567"/>
        </w:tabs>
        <w:ind w:firstLine="567"/>
        <w:jc w:val="both"/>
        <w:rPr>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5961/BCT-KHTC</w:t>
      </w:r>
      <w:r w:rsidRPr="00966A0D">
        <w:rPr>
          <w:noProof/>
          <w:sz w:val="18"/>
          <w:szCs w:val="18"/>
          <w:lang w:val="vi-VN"/>
        </w:rPr>
        <w:t xml:space="preserve"> ngày </w:t>
      </w:r>
      <w:r w:rsidRPr="00966A0D">
        <w:rPr>
          <w:bCs/>
          <w:noProof/>
          <w:sz w:val="18"/>
          <w:szCs w:val="18"/>
          <w:lang w:val="vi-VN"/>
        </w:rPr>
        <w:t>11/8/2025 của Bộ Công Thương v</w:t>
      </w:r>
      <w:r w:rsidRPr="00966A0D">
        <w:rPr>
          <w:noProof/>
          <w:sz w:val="18"/>
          <w:szCs w:val="18"/>
          <w:lang w:val="vi-VN"/>
        </w:rPr>
        <w:t>ề việc giải đáp vướng mắc trong lĩnh vực thương mại quốc tế;</w:t>
      </w:r>
    </w:p>
    <w:p w14:paraId="2F057ABF" w14:textId="77777777" w:rsidR="00582C1D" w:rsidRPr="00966A0D" w:rsidRDefault="00582C1D" w:rsidP="00EC01A0">
      <w:pPr>
        <w:tabs>
          <w:tab w:val="left" w:pos="567"/>
        </w:tabs>
        <w:ind w:firstLine="567"/>
        <w:jc w:val="both"/>
        <w:rPr>
          <w:noProof/>
          <w:sz w:val="18"/>
          <w:szCs w:val="18"/>
          <w:lang w:val="vi-VN"/>
        </w:rPr>
      </w:pPr>
      <w:r w:rsidRPr="00966A0D">
        <w:rPr>
          <w:noProof/>
          <w:sz w:val="18"/>
          <w:szCs w:val="18"/>
          <w:lang w:val="vi-VN"/>
        </w:rPr>
        <w:t>- Văn bản số  6534/BCT-PC ngày 29/8/2025 của Bộ Công Thương về việc phối hợp triển khai các nội dung về phân cấp, phân quyền và nhiệm vụ quan trọng trong phát triển kinh tế-xã hội tại địa phương;</w:t>
      </w:r>
    </w:p>
    <w:p w14:paraId="0042CED4"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5918/BCT-XNK ngày 08/8/2025 của Bộ Công Thương gửi Uỷ ban nhân dân các tỉnh, thành phố trực thuộc Trung ương về việc tổ chức triển khai phân quyền, phân cấp trong lĩnh vực xuất xứ hàng hoá;</w:t>
      </w:r>
      <w:r w:rsidRPr="00966A0D">
        <w:rPr>
          <w:bCs/>
          <w:noProof/>
          <w:sz w:val="18"/>
          <w:szCs w:val="18"/>
          <w:lang w:val="vi-VN"/>
        </w:rPr>
        <w:tab/>
      </w:r>
    </w:p>
    <w:p w14:paraId="1E053B89"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4766/BCT-TMĐT của Bộ Công Thương hướng dẫn thực hiên phân cấp trong lĩnh vực thương mại điện tử</w:t>
      </w:r>
      <w:r w:rsidRPr="00966A0D">
        <w:rPr>
          <w:bCs/>
          <w:noProof/>
          <w:sz w:val="18"/>
          <w:szCs w:val="18"/>
          <w:lang w:val="vi-VN"/>
        </w:rPr>
        <w:tab/>
        <w:t xml:space="preserve">Tài liệu hướng dẫn đăng nhập, hướng dẫn sử dụng tính năng hệ thống tại đường link: </w:t>
      </w:r>
      <w:hyperlink r:id="rId1" w:history="1">
        <w:r w:rsidRPr="00966A0D">
          <w:rPr>
            <w:rStyle w:val="Hyperlink"/>
            <w:bCs/>
            <w:noProof/>
            <w:color w:val="auto"/>
            <w:sz w:val="18"/>
            <w:szCs w:val="18"/>
            <w:lang w:val="vi-VN"/>
          </w:rPr>
          <w:t>http://online.gov.vn/Huong-Dan/HUONG-DAN-UBND-TINH-THUC-HIEN-NGHIEP-VU-THU-TUC-HANH-CHINH-THUONG-MAI-DIEN-TU-decp4zUlrd</w:t>
        </w:r>
      </w:hyperlink>
      <w:r w:rsidRPr="00966A0D">
        <w:rPr>
          <w:bCs/>
          <w:noProof/>
          <w:sz w:val="18"/>
          <w:szCs w:val="18"/>
          <w:lang w:val="vi-VN"/>
        </w:rPr>
        <w:t>;</w:t>
      </w:r>
    </w:p>
    <w:p w14:paraId="49C9CA2A"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5299/BCT-ĐCK ngày 17/7/2025 của Bộ Công Thương hướng dẫn việc ban hành Danh sách cơ sở sử dụng năng lượng trọng điểm năm 2024</w:t>
      </w:r>
    </w:p>
    <w:p w14:paraId="5D5D9BDA"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5874/BCT-ĐL ngày 06/8/2025 của Bộ Công Thương trả lời Sở Công Thương tỉnh Bắc Ninh hướng dẫn thực hiện quy định cơ chế mua bán điện trực tiếp</w:t>
      </w:r>
    </w:p>
    <w:p w14:paraId="6B30D7EE"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5873/BCT-ĐL ngày 06/8/2025 của Bộ Công Thương trả lời Sở Công Thương Thành phố Hồ Chí Minh hướng dẫn thực hiện quy định cơ chế mua bán điện trực tiếp;</w:t>
      </w:r>
    </w:p>
    <w:p w14:paraId="4BD8A837"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xml:space="preserve">- </w:t>
      </w:r>
      <w:r w:rsidRPr="00966A0D">
        <w:rPr>
          <w:noProof/>
          <w:sz w:val="18"/>
          <w:szCs w:val="18"/>
          <w:lang w:val="vi-VN"/>
        </w:rPr>
        <w:t xml:space="preserve">Văn bản số  </w:t>
      </w:r>
      <w:r w:rsidRPr="00966A0D">
        <w:rPr>
          <w:bCs/>
          <w:noProof/>
          <w:sz w:val="18"/>
          <w:szCs w:val="18"/>
          <w:lang w:val="vi-VN"/>
        </w:rPr>
        <w:t>7298/BCT-ĐL ngày 24/9/2025 của Bộ Công Thương trả lời UBND tỉnh Hưng Yên về việc giao chủ đầu tư 02 tuyến đường dây 220kV cho Dự án Nhà máy nhiệt điện LNG Thái Bình.</w:t>
      </w:r>
    </w:p>
    <w:p w14:paraId="51BA2F67" w14:textId="77777777" w:rsidR="00582C1D" w:rsidRPr="00966A0D" w:rsidRDefault="00582C1D" w:rsidP="00EC01A0">
      <w:pPr>
        <w:tabs>
          <w:tab w:val="left" w:pos="567"/>
        </w:tabs>
        <w:ind w:firstLine="567"/>
        <w:jc w:val="both"/>
        <w:rPr>
          <w:bCs/>
          <w:noProof/>
          <w:sz w:val="18"/>
          <w:szCs w:val="18"/>
          <w:lang w:val="vi-VN"/>
        </w:rPr>
      </w:pPr>
      <w:r w:rsidRPr="00966A0D">
        <w:rPr>
          <w:bCs/>
          <w:noProof/>
          <w:sz w:val="18"/>
          <w:szCs w:val="18"/>
          <w:lang w:val="vi-VN"/>
        </w:rPr>
        <w:t>- Và nhiều văn bản của các đơn vị thuộc Bộ.</w:t>
      </w:r>
    </w:p>
  </w:footnote>
  <w:footnote w:id="3">
    <w:p w14:paraId="49B2F4B7"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w:t>
      </w:r>
      <w:hyperlink r:id="rId2" w:history="1">
        <w:r w:rsidRPr="00966A0D">
          <w:rPr>
            <w:rStyle w:val="Hyperlink"/>
            <w:noProof/>
            <w:color w:val="auto"/>
            <w:sz w:val="18"/>
            <w:szCs w:val="18"/>
            <w:lang w:val="vi-VN"/>
          </w:rPr>
          <w:t>https://www.who.int/news-room/fact-sheets/detail/substandard-and-falsified-medical-products</w:t>
        </w:r>
      </w:hyperlink>
      <w:r w:rsidRPr="00966A0D">
        <w:rPr>
          <w:noProof/>
          <w:sz w:val="18"/>
          <w:szCs w:val="18"/>
          <w:lang w:val="vi-VN"/>
        </w:rPr>
        <w:t xml:space="preserve"> </w:t>
      </w:r>
    </w:p>
  </w:footnote>
  <w:footnote w:id="4">
    <w:p w14:paraId="7162FC00"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Thomas Wahl, </w:t>
      </w:r>
      <w:r w:rsidRPr="00966A0D">
        <w:rPr>
          <w:i/>
          <w:iCs/>
          <w:noProof/>
          <w:sz w:val="18"/>
          <w:szCs w:val="18"/>
          <w:lang w:val="vi-VN"/>
        </w:rPr>
        <w:t>Commission Presents Toolbox against Counterfeiting,</w:t>
      </w:r>
      <w:r w:rsidRPr="00966A0D">
        <w:rPr>
          <w:noProof/>
          <w:sz w:val="18"/>
          <w:szCs w:val="18"/>
          <w:lang w:val="vi-VN"/>
        </w:rPr>
        <w:t xml:space="preserve"> 2024: </w:t>
      </w:r>
    </w:p>
    <w:p w14:paraId="7D6A7EF0"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 xml:space="preserve">https://eucrim.eu/news/commission-presents-toolbox-against-counterfeiting/ </w:t>
      </w:r>
    </w:p>
  </w:footnote>
  <w:footnote w:id="5">
    <w:p w14:paraId="7994AF9A"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Thuật ngữ “hàng giả” trong báo cáo của OECD và EUIPO chỉ bao gồm hàng hóa giả mạo nhãn hiệu, xâm phạm bản quyền, sảng chế, không bao gồm hàng kém chất lượng, hàng làm giả/ pha trộn hoặc sản phẩm có nhãn sai thông tin mà không vi phạm bất kỳ quyền sở hữu trí tuệ nào. </w:t>
      </w:r>
    </w:p>
  </w:footnote>
  <w:footnote w:id="6">
    <w:p w14:paraId="58218EDF"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OECD, EUIPO, From fakes to forces labour, 2026, tr.9.</w:t>
      </w:r>
    </w:p>
  </w:footnote>
  <w:footnote w:id="7">
    <w:p w14:paraId="1A72D875"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Phương Nguyễn, </w:t>
      </w:r>
      <w:r w:rsidRPr="00966A0D">
        <w:rPr>
          <w:i/>
          <w:iCs/>
          <w:noProof/>
          <w:sz w:val="18"/>
          <w:szCs w:val="18"/>
          <w:lang w:val="vi-VN"/>
        </w:rPr>
        <w:t>Châu Âu tổng lực chống hàng giả, hàng kém chất lượng</w:t>
      </w:r>
      <w:r w:rsidRPr="00966A0D">
        <w:rPr>
          <w:noProof/>
          <w:sz w:val="18"/>
          <w:szCs w:val="18"/>
          <w:lang w:val="vi-VN"/>
        </w:rPr>
        <w:t>, Báo Tuổi trẻ Online, 2025:</w:t>
      </w:r>
    </w:p>
    <w:p w14:paraId="42E6B301"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b/>
          <w:bCs/>
          <w:noProof/>
          <w:sz w:val="18"/>
          <w:szCs w:val="18"/>
          <w:lang w:val="vi-VN"/>
        </w:rPr>
        <w:t xml:space="preserve"> </w:t>
      </w:r>
      <w:r w:rsidRPr="00966A0D">
        <w:rPr>
          <w:noProof/>
          <w:sz w:val="18"/>
          <w:szCs w:val="18"/>
          <w:u w:val="single"/>
          <w:lang w:val="vi-VN"/>
        </w:rPr>
        <w:t>https://tuoitre.vn/chau-au-tong-luc-chong-hang-gia-hang-kem-chat-luong-20250427084336231.htm</w:t>
      </w:r>
      <w:r w:rsidRPr="00966A0D">
        <w:rPr>
          <w:noProof/>
          <w:sz w:val="18"/>
          <w:szCs w:val="18"/>
          <w:lang w:val="vi-VN"/>
        </w:rPr>
        <w:t xml:space="preserve">   </w:t>
      </w:r>
    </w:p>
  </w:footnote>
  <w:footnote w:id="8">
    <w:p w14:paraId="276E178A"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European Commission, </w:t>
      </w:r>
      <w:r w:rsidRPr="00966A0D">
        <w:rPr>
          <w:i/>
          <w:iCs/>
          <w:noProof/>
          <w:sz w:val="18"/>
          <w:szCs w:val="18"/>
          <w:lang w:val="vi-VN"/>
        </w:rPr>
        <w:t>Commisson Recommendation of 19.3.2024 on measures to combat counterfeiting and enhance the enforcement of intellectual property rights</w:t>
      </w:r>
      <w:r w:rsidRPr="00966A0D">
        <w:rPr>
          <w:noProof/>
          <w:sz w:val="18"/>
          <w:szCs w:val="18"/>
          <w:lang w:val="vi-VN"/>
        </w:rPr>
        <w:t>, tr.2.</w:t>
      </w:r>
    </w:p>
  </w:footnote>
  <w:footnote w:id="9">
    <w:p w14:paraId="4589CB5F"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OECD, EUIPO, </w:t>
      </w:r>
      <w:r w:rsidRPr="00966A0D">
        <w:rPr>
          <w:i/>
          <w:iCs/>
          <w:noProof/>
          <w:sz w:val="18"/>
          <w:szCs w:val="18"/>
          <w:lang w:val="vi-VN"/>
        </w:rPr>
        <w:t>2019 Status report on IPR infringement</w:t>
      </w:r>
      <w:r w:rsidRPr="00966A0D">
        <w:rPr>
          <w:noProof/>
          <w:sz w:val="18"/>
          <w:szCs w:val="18"/>
          <w:lang w:val="vi-VN"/>
        </w:rPr>
        <w:t>, tr.22.</w:t>
      </w:r>
    </w:p>
  </w:footnote>
  <w:footnote w:id="10">
    <w:p w14:paraId="524BC4DE"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w:t>
      </w:r>
      <w:hyperlink r:id="rId3" w:history="1">
        <w:r w:rsidRPr="00966A0D">
          <w:rPr>
            <w:rStyle w:val="Hyperlink"/>
            <w:noProof/>
            <w:color w:val="auto"/>
            <w:sz w:val="18"/>
            <w:szCs w:val="18"/>
            <w:lang w:val="vi-VN"/>
          </w:rPr>
          <w:t>https://www.myjournalcourier.com/opinion/article/counterfeiters-benefit-tariff-economy-20327538.php</w:t>
        </w:r>
      </w:hyperlink>
      <w:r w:rsidRPr="00966A0D">
        <w:rPr>
          <w:noProof/>
          <w:sz w:val="18"/>
          <w:szCs w:val="18"/>
          <w:lang w:val="vi-VN"/>
        </w:rPr>
        <w:t xml:space="preserve"> </w:t>
      </w:r>
    </w:p>
  </w:footnote>
  <w:footnote w:id="11">
    <w:p w14:paraId="3FCC4BD2" w14:textId="77777777" w:rsidR="00582C1D" w:rsidRPr="00966A0D" w:rsidRDefault="00582C1D" w:rsidP="00041E29">
      <w:pPr>
        <w:tabs>
          <w:tab w:val="right" w:leader="dot" w:pos="7920"/>
        </w:tabs>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Trong Chiến dịch năm 2024, tại Tây Ban Nha, lực lượng Vệ binh Dân sự, phối hợp với Cảnh sát Quốc gia Ý và Europol, đã bắt giữ 4 người điều hành một công ty đóng hộp. Lực lượng chức năng đã thu giữ khoảng 120.000 lon cá ngừ và 45.000 lít dầu ăn. Các sản phẩm này có chất lượng thấp hơn rất nhiều so với thông tin trên nhãn và được bán với giá rẻ bất thường so với hàng thật. Tại Ý, lực lượng chống hàng giả và bảo vệ sức khỏe cộng đồng thuộc Cảnh sát Quốc gia đã phát hiện 42 tấn dầu bị pha trộn nhưng dán nhãn sai là dầu ô liu nguyên chất của Ý.</w:t>
      </w:r>
    </w:p>
  </w:footnote>
  <w:footnote w:id="12">
    <w:p w14:paraId="1B858298"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Tại ý, lực lượng chức năng đã thu giữ 71 tấn chất lỏng dùng để pha trộn dầu và 623 lít chất diệp lục để tạo màu cho dầu giả. Tổng giá trị các tang vật bị thu giữ (bao gồm cả thiết bị đóng gói, nhãn mác, phương tiện vận chuyển, xe nâng và thiết bị điện tử) lên tới 900.000 euro (khoảng 27,8 tỷ đồng)</w:t>
      </w:r>
    </w:p>
  </w:footnote>
  <w:footnote w:id="13">
    <w:p w14:paraId="6BEFC9BF"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Tại Ý, một đường dây làm giả rượu vang đã bị triệt phá, dẫn tới việc thu giữ 60.000 lít rượu vang giả. Tại Pháp, Cảnh sát Quốc gia Pháp đã phối hợp với Cảnh sát Quốc gia Ý, Cảnh sát Liên bang Thụy Sĩ, cùng Europol và Eurojust, để triệt phá một đường dây làm giả rượu vang Pháp cao cấp ngay tại Ý. Nhóm này sản xuất giả rượu vang đỏ Pháp và xuất khẩu đi toàn cầu. Một số chai được bán với giá lên tới 15.000 euro (gần 465 triệu đồng) mỗi chai. Chiến dịch đã bắt giữ 6 đối tượng, thu giữ lượng tài sản trị giá 1,4 triệu euro (khoảng 43 tỷ đồng), cùng hơn 100.000 euro tiền mặt và nhiều tài liệu liên quan.</w:t>
      </w:r>
    </w:p>
  </w:footnote>
  <w:footnote w:id="14">
    <w:p w14:paraId="691B9DFE"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Tại Thụy Điển, Cơ quan An toàn Thực phẩm Thụy Điển, Cảnh sát Thụy Điển và các cơ quan liên quan đã phối hợp với giới chức EU để thu giữ hơn 600 tấn gạo có chất lượng thấp hơn nhiều so với thông tin ghi trên nhãn. Phần lớn gạo này được nhập khẩu từ các nước ngoài EU, chủ yếu là Ấn Độ và Pakistan</w:t>
      </w:r>
    </w:p>
  </w:footnote>
  <w:footnote w:id="15">
    <w:p w14:paraId="638911FB"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Giới chức Tây Ban Nha cũng phát hiện và xử lý nhiều vụ làm giả dầu ăn, thịt nguội và phô mai</w:t>
      </w:r>
    </w:p>
  </w:footnote>
  <w:footnote w:id="16">
    <w:p w14:paraId="1C83BBED" w14:textId="3D0B6252" w:rsidR="00582C1D" w:rsidRPr="00966A0D" w:rsidRDefault="00582C1D" w:rsidP="00041E29">
      <w:pPr>
        <w:pStyle w:val="FootnoteText"/>
        <w:spacing w:before="60" w:after="60"/>
        <w:ind w:firstLine="567"/>
        <w:contextualSpacing/>
        <w:jc w:val="both"/>
        <w:rPr>
          <w:i/>
          <w:i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Khánh Linh, </w:t>
      </w:r>
      <w:r w:rsidRPr="00966A0D">
        <w:rPr>
          <w:i/>
          <w:iCs/>
          <w:noProof/>
          <w:sz w:val="18"/>
          <w:szCs w:val="18"/>
          <w:lang w:val="vi-VN"/>
        </w:rPr>
        <w:t xml:space="preserve">Chiến dịch OPSON: Đột kích hàng trăm kho hàng, tịch thu 22.000 tấn thực phẩm bẩn, nhái thương hiệu và 850.000 lít đồ uống pha tạp, tổng trị giá 2.800 tỷ đồng, </w:t>
      </w:r>
      <w:r w:rsidRPr="00966A0D">
        <w:rPr>
          <w:noProof/>
          <w:sz w:val="18"/>
          <w:szCs w:val="18"/>
          <w:lang w:val="vi-VN"/>
        </w:rPr>
        <w:t xml:space="preserve">2025: </w:t>
      </w:r>
      <w:r w:rsidRPr="00966A0D">
        <w:rPr>
          <w:noProof/>
          <w:sz w:val="18"/>
          <w:szCs w:val="18"/>
          <w:u w:val="single"/>
          <w:lang w:val="vi-VN"/>
        </w:rPr>
        <w:t xml:space="preserve">https://cafef.vn/chien-dich-opson-dot-kich-hang-tram-kho-hang-tich-thu-22000-tan-thuc-pham-ban-nhai-thuong-hieu-va-850000-lit-do-uong-pha-tap-tong-tri-gia-2800-ty-dong-188250704155334726.chn </w:t>
      </w:r>
      <w:r w:rsidRPr="00966A0D">
        <w:rPr>
          <w:noProof/>
          <w:sz w:val="18"/>
          <w:szCs w:val="18"/>
          <w:lang w:val="vi-VN"/>
        </w:rPr>
        <w:t xml:space="preserve"> </w:t>
      </w:r>
    </w:p>
  </w:footnote>
  <w:footnote w:id="17">
    <w:p w14:paraId="04CD429A"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Counterfeit and substandard food worth EUR 95 million seized in global operation:</w:t>
      </w:r>
      <w:r w:rsidRPr="00966A0D">
        <w:rPr>
          <w:b/>
          <w:bCs/>
          <w:noProof/>
          <w:sz w:val="18"/>
          <w:szCs w:val="18"/>
          <w:lang w:val="vi-VN"/>
        </w:rPr>
        <w:t xml:space="preserve"> </w:t>
      </w:r>
      <w:hyperlink r:id="rId4" w:history="1">
        <w:r w:rsidRPr="00966A0D">
          <w:rPr>
            <w:rStyle w:val="Hyperlink"/>
            <w:noProof/>
            <w:color w:val="auto"/>
            <w:sz w:val="18"/>
            <w:szCs w:val="18"/>
            <w:lang w:val="vi-VN"/>
          </w:rPr>
          <w:t>https://world-border-congress.com/counterfeit-and-substandard-food-worth-eur-95-million-seized-in-global-operation/</w:t>
        </w:r>
      </w:hyperlink>
      <w:r w:rsidRPr="00966A0D">
        <w:rPr>
          <w:noProof/>
          <w:sz w:val="18"/>
          <w:szCs w:val="18"/>
          <w:lang w:val="vi-VN"/>
        </w:rPr>
        <w:t xml:space="preserve"> </w:t>
      </w:r>
    </w:p>
  </w:footnote>
  <w:footnote w:id="18">
    <w:p w14:paraId="5180B6B5"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Hồng Vân, </w:t>
      </w:r>
      <w:r w:rsidRPr="00966A0D">
        <w:rPr>
          <w:i/>
          <w:iCs/>
          <w:noProof/>
          <w:sz w:val="18"/>
          <w:szCs w:val="18"/>
          <w:lang w:val="vi-VN"/>
        </w:rPr>
        <w:t>10.696 vụ sản xuất, mua bán hàng giả bị phát hiện trong 2 năm,</w:t>
      </w:r>
      <w:r w:rsidRPr="00966A0D">
        <w:rPr>
          <w:noProof/>
          <w:sz w:val="18"/>
          <w:szCs w:val="18"/>
          <w:lang w:val="vi-VN"/>
        </w:rPr>
        <w:t xml:space="preserve"> Thời báo Tài chính Việt Nam, 2025: </w:t>
      </w:r>
      <w:hyperlink r:id="rId5" w:history="1">
        <w:r w:rsidRPr="00966A0D">
          <w:rPr>
            <w:rStyle w:val="Hyperlink"/>
            <w:noProof/>
            <w:color w:val="auto"/>
            <w:sz w:val="18"/>
            <w:szCs w:val="18"/>
            <w:lang w:val="vi-VN"/>
          </w:rPr>
          <w:t>https://thoibaotaichinhvietnam.vn/10696-vu-san-xuat-mua-ban-hang-gia-bi-phat-hien-trong-2-nam-176338.html</w:t>
        </w:r>
      </w:hyperlink>
      <w:r w:rsidRPr="00966A0D">
        <w:rPr>
          <w:noProof/>
          <w:sz w:val="18"/>
          <w:szCs w:val="18"/>
          <w:lang w:val="vi-VN"/>
        </w:rPr>
        <w:t xml:space="preserve"> </w:t>
      </w:r>
    </w:p>
  </w:footnote>
  <w:footnote w:id="19">
    <w:p w14:paraId="51EE1066"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Tổng kết đợt cao điểm đấu tranh chống buôn lậu, gian lận thương mại và hàng giả,</w:t>
      </w:r>
      <w:r w:rsidRPr="00966A0D">
        <w:rPr>
          <w:b/>
          <w:bCs/>
          <w:noProof/>
          <w:sz w:val="18"/>
          <w:szCs w:val="18"/>
          <w:lang w:val="vi-VN"/>
        </w:rPr>
        <w:t xml:space="preserve"> </w:t>
      </w:r>
      <w:hyperlink r:id="rId6" w:history="1">
        <w:r w:rsidRPr="00966A0D">
          <w:rPr>
            <w:rStyle w:val="Hyperlink"/>
            <w:noProof/>
            <w:color w:val="auto"/>
            <w:sz w:val="18"/>
            <w:szCs w:val="18"/>
            <w:lang w:val="vi-VN"/>
          </w:rPr>
          <w:t>https://baolangson.vn/tong-ket-dot-cao-diem-dau-tranh-chong-buon-lau-gian-lan-thuong-mai-va-hang-gia-5050955.html</w:t>
        </w:r>
      </w:hyperlink>
      <w:r w:rsidRPr="00966A0D">
        <w:rPr>
          <w:noProof/>
          <w:sz w:val="18"/>
          <w:szCs w:val="18"/>
          <w:lang w:val="vi-VN"/>
        </w:rPr>
        <w:t xml:space="preserve"> </w:t>
      </w:r>
    </w:p>
  </w:footnote>
  <w:footnote w:id="20">
    <w:p w14:paraId="34F8004F"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Tâm An, </w:t>
      </w:r>
      <w:hyperlink r:id="rId7" w:tooltip="Hàng giả: Vết sẹo toàn cầu, đe dọa kinh tế và niềm tin người tiêu dùng" w:history="1">
        <w:r w:rsidRPr="00966A0D">
          <w:rPr>
            <w:rStyle w:val="Hyperlink"/>
            <w:i/>
            <w:iCs/>
            <w:noProof/>
            <w:color w:val="auto"/>
            <w:sz w:val="18"/>
            <w:szCs w:val="18"/>
            <w:lang w:val="vi-VN"/>
          </w:rPr>
          <w:t>Hàng giả: Vết sẹo toàn cầu, đe dọa kinh tế và niềm tin người tiêu dùng</w:t>
        </w:r>
      </w:hyperlink>
      <w:r w:rsidRPr="00966A0D">
        <w:rPr>
          <w:i/>
          <w:iCs/>
          <w:noProof/>
          <w:sz w:val="18"/>
          <w:szCs w:val="18"/>
          <w:lang w:val="vi-VN"/>
        </w:rPr>
        <w:t>:</w:t>
      </w:r>
    </w:p>
    <w:p w14:paraId="293095B7" w14:textId="77777777" w:rsidR="00582C1D" w:rsidRPr="00966A0D" w:rsidRDefault="00F862E4" w:rsidP="00041E29">
      <w:pPr>
        <w:pStyle w:val="FootnoteText"/>
        <w:spacing w:before="60" w:after="60"/>
        <w:ind w:firstLine="567"/>
        <w:contextualSpacing/>
        <w:jc w:val="both"/>
        <w:rPr>
          <w:b/>
          <w:bCs/>
          <w:noProof/>
          <w:sz w:val="18"/>
          <w:szCs w:val="18"/>
          <w:lang w:val="vi-VN"/>
        </w:rPr>
      </w:pPr>
      <w:hyperlink r:id="rId8" w:history="1">
        <w:r w:rsidR="00582C1D" w:rsidRPr="00966A0D">
          <w:rPr>
            <w:rStyle w:val="Hyperlink"/>
            <w:noProof/>
            <w:color w:val="auto"/>
            <w:sz w:val="18"/>
            <w:szCs w:val="18"/>
            <w:lang w:val="vi-VN"/>
          </w:rPr>
          <w:t>https://thuonghieucongluan.com.vn/hang-gia-vet-seo-toan-cau-de-doa-kinh-te-va-niem-tin-nguoi-tieu-dung-a266309.html</w:t>
        </w:r>
      </w:hyperlink>
      <w:r w:rsidR="00582C1D" w:rsidRPr="00966A0D">
        <w:rPr>
          <w:noProof/>
          <w:sz w:val="18"/>
          <w:szCs w:val="18"/>
          <w:lang w:val="vi-VN"/>
        </w:rPr>
        <w:t xml:space="preserve"> </w:t>
      </w:r>
    </w:p>
  </w:footnote>
  <w:footnote w:id="21">
    <w:p w14:paraId="47EC5E1A"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Mai Chi, </w:t>
      </w:r>
      <w:r w:rsidRPr="00966A0D">
        <w:rPr>
          <w:i/>
          <w:iCs/>
          <w:noProof/>
          <w:sz w:val="18"/>
          <w:szCs w:val="18"/>
          <w:lang w:val="vi-VN"/>
        </w:rPr>
        <w:t>Thiệt hại 2,5 tỷ USD mỗi năm vì hàng giả: Nguy cơ mới từ livestream bán nông phẩm:</w:t>
      </w:r>
    </w:p>
    <w:p w14:paraId="51E2F65E"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noProof/>
          <w:sz w:val="18"/>
          <w:szCs w:val="18"/>
          <w:lang w:val="vi-VN"/>
        </w:rPr>
        <w:t xml:space="preserve">https://thuongtruong.com.vn/news/thiet-hai-25-ty-usd-moi-nam-vi-hang-gia-nguy-co-moi-tu-livestream-ban-nong-pham-149345.html </w:t>
      </w:r>
    </w:p>
  </w:footnote>
  <w:footnote w:id="22">
    <w:p w14:paraId="0B1255B5"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Hà Mai – Mai Phương, </w:t>
      </w:r>
      <w:r w:rsidRPr="00966A0D">
        <w:rPr>
          <w:i/>
          <w:iCs/>
          <w:noProof/>
          <w:sz w:val="18"/>
          <w:szCs w:val="18"/>
          <w:lang w:val="vi-VN"/>
        </w:rPr>
        <w:t>Doanh nghiệp thiệt hại nặng nề vì hàng giả:</w:t>
      </w:r>
    </w:p>
    <w:p w14:paraId="596EC743"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noProof/>
          <w:sz w:val="18"/>
          <w:szCs w:val="18"/>
          <w:u w:val="single"/>
          <w:lang w:val="vi-VN"/>
        </w:rPr>
        <w:t>https://thanhnien.vn/doanh-nghiep-thiet-hai-nang-ne-vi-hang-gia-185250611231907348.htm</w:t>
      </w:r>
      <w:r w:rsidRPr="00966A0D">
        <w:rPr>
          <w:noProof/>
          <w:sz w:val="18"/>
          <w:szCs w:val="18"/>
          <w:lang w:val="vi-VN"/>
        </w:rPr>
        <w:t xml:space="preserve">  </w:t>
      </w:r>
    </w:p>
  </w:footnote>
  <w:footnote w:id="23">
    <w:p w14:paraId="09DF2C43"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OECD, EUIPO, </w:t>
      </w:r>
      <w:r w:rsidRPr="00966A0D">
        <w:rPr>
          <w:i/>
          <w:iCs/>
          <w:noProof/>
          <w:sz w:val="18"/>
          <w:szCs w:val="18"/>
          <w:lang w:val="vi-VN"/>
        </w:rPr>
        <w:t xml:space="preserve">Mapping Global Trade in Fake 2025, Global trends and Enforcemant Challenges, </w:t>
      </w:r>
      <w:r w:rsidRPr="00966A0D">
        <w:rPr>
          <w:noProof/>
          <w:sz w:val="18"/>
          <w:szCs w:val="18"/>
          <w:lang w:val="vi-VN"/>
        </w:rPr>
        <w:t>2025, tr.15.</w:t>
      </w:r>
    </w:p>
  </w:footnote>
  <w:footnote w:id="24">
    <w:p w14:paraId="51B1AE6D"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“China Plus One” là một </w:t>
      </w:r>
      <w:hyperlink r:id="rId9" w:tooltip="Chiến lược kinh doanh" w:history="1">
        <w:r w:rsidRPr="00966A0D">
          <w:rPr>
            <w:rStyle w:val="Hyperlink"/>
            <w:noProof/>
            <w:color w:val="auto"/>
            <w:sz w:val="18"/>
            <w:szCs w:val="18"/>
            <w:lang w:val="vi-VN"/>
          </w:rPr>
          <w:t>chiến lược kinh doanh</w:t>
        </w:r>
      </w:hyperlink>
      <w:r w:rsidRPr="00966A0D">
        <w:rPr>
          <w:noProof/>
          <w:sz w:val="18"/>
          <w:szCs w:val="18"/>
          <w:lang w:val="vi-VN"/>
        </w:rPr>
        <w:t> nhằm tránh việc đầu tư duy nhất vào </w:t>
      </w:r>
      <w:hyperlink r:id="rId10" w:tooltip="Trung Quốc" w:history="1">
        <w:r w:rsidRPr="00966A0D">
          <w:rPr>
            <w:rStyle w:val="Hyperlink"/>
            <w:noProof/>
            <w:color w:val="auto"/>
            <w:sz w:val="18"/>
            <w:szCs w:val="18"/>
            <w:lang w:val="vi-VN"/>
          </w:rPr>
          <w:t>Trung Quốc</w:t>
        </w:r>
      </w:hyperlink>
      <w:r w:rsidRPr="00966A0D">
        <w:rPr>
          <w:noProof/>
          <w:sz w:val="18"/>
          <w:szCs w:val="18"/>
          <w:lang w:val="vi-VN"/>
        </w:rPr>
        <w:t> và đa dạng hóa kinh doanh sang các quốc gia khác, hoặc chuyển hướng đầu tư sản xuất tại các </w:t>
      </w:r>
      <w:hyperlink r:id="rId11" w:tooltip="Nước đang phát triển" w:history="1">
        <w:r w:rsidRPr="00966A0D">
          <w:rPr>
            <w:rStyle w:val="Hyperlink"/>
            <w:noProof/>
            <w:color w:val="auto"/>
            <w:sz w:val="18"/>
            <w:szCs w:val="18"/>
            <w:lang w:val="vi-VN"/>
          </w:rPr>
          <w:t>nền kinh tế đang phát triển</w:t>
        </w:r>
      </w:hyperlink>
      <w:r w:rsidRPr="00966A0D">
        <w:rPr>
          <w:noProof/>
          <w:sz w:val="18"/>
          <w:szCs w:val="18"/>
          <w:lang w:val="vi-VN"/>
        </w:rPr>
        <w:t> có triển vọng khác.</w:t>
      </w:r>
    </w:p>
  </w:footnote>
  <w:footnote w:id="25">
    <w:p w14:paraId="287D6C42" w14:textId="77777777" w:rsidR="00582C1D" w:rsidRPr="00966A0D" w:rsidRDefault="00582C1D" w:rsidP="00041E29">
      <w:pPr>
        <w:pStyle w:val="FootnoteText"/>
        <w:spacing w:before="60" w:after="60"/>
        <w:ind w:firstLine="567"/>
        <w:contextualSpacing/>
        <w:jc w:val="both"/>
        <w:rPr>
          <w:b/>
          <w:bCs/>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w:t>
      </w:r>
      <w:r w:rsidRPr="00966A0D">
        <w:rPr>
          <w:i/>
          <w:iCs/>
          <w:noProof/>
          <w:sz w:val="18"/>
          <w:szCs w:val="18"/>
          <w:lang w:val="vi-VN"/>
        </w:rPr>
        <w:t>Goods infringing intellectual property rights:</w:t>
      </w:r>
    </w:p>
    <w:p w14:paraId="6EAEDF97" w14:textId="77777777" w:rsidR="00582C1D" w:rsidRPr="00966A0D" w:rsidRDefault="00F862E4" w:rsidP="00041E29">
      <w:pPr>
        <w:pStyle w:val="FootnoteText"/>
        <w:spacing w:before="60" w:after="60"/>
        <w:ind w:firstLine="567"/>
        <w:contextualSpacing/>
        <w:jc w:val="both"/>
        <w:rPr>
          <w:noProof/>
          <w:sz w:val="18"/>
          <w:szCs w:val="18"/>
          <w:lang w:val="vi-VN"/>
        </w:rPr>
      </w:pPr>
      <w:hyperlink r:id="rId12" w:anchor="KEYTERMS" w:history="1">
        <w:r w:rsidR="00582C1D" w:rsidRPr="00966A0D">
          <w:rPr>
            <w:rStyle w:val="Hyperlink"/>
            <w:noProof/>
            <w:color w:val="auto"/>
            <w:sz w:val="18"/>
            <w:szCs w:val="18"/>
            <w:lang w:val="vi-VN"/>
          </w:rPr>
          <w:t>https://eur-lex.europa.eu/EN/legal-content/summary/goods-infringing-intellectual-property-rights.html#KEYTERMS</w:t>
        </w:r>
      </w:hyperlink>
      <w:r w:rsidR="00582C1D" w:rsidRPr="00966A0D">
        <w:rPr>
          <w:noProof/>
          <w:sz w:val="18"/>
          <w:szCs w:val="18"/>
          <w:lang w:val="vi-VN"/>
        </w:rPr>
        <w:t xml:space="preserve"> </w:t>
      </w:r>
    </w:p>
  </w:footnote>
  <w:footnote w:id="26">
    <w:p w14:paraId="45C485DD"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w:t>
      </w:r>
      <w:hyperlink r:id="rId13" w:anchor=":~:text=counterfeit" w:history="1">
        <w:r w:rsidRPr="00966A0D">
          <w:rPr>
            <w:rStyle w:val="Hyperlink"/>
            <w:noProof/>
            <w:color w:val="auto"/>
            <w:sz w:val="18"/>
            <w:szCs w:val="18"/>
            <w:lang w:val="vi-VN"/>
          </w:rPr>
          <w:t>https://www.law.cornell.edu/definitions/uscode.php?width=840&amp;height=800&amp;iframe=true&amp;def_id=15-USC-1854677466-1913738695&amp;term_occur=5&amp;term_src=title:15:chapter:22:subchapter:III:section:1116#:~:text=counterfeit</w:t>
        </w:r>
      </w:hyperlink>
      <w:r w:rsidRPr="00966A0D">
        <w:rPr>
          <w:noProof/>
          <w:sz w:val="18"/>
          <w:szCs w:val="18"/>
          <w:lang w:val="vi-VN"/>
        </w:rPr>
        <w:t xml:space="preserve"> </w:t>
      </w:r>
    </w:p>
  </w:footnote>
  <w:footnote w:id="27">
    <w:p w14:paraId="1F50393E"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Định nghĩa của Uỷ ban Quốc gia chống hàng giả của Pháp (CNAC). Điều L515-1, l52-, L615-1, L716-9 Bộ luật sở hữu trí tuệ của Cộng hòa Pháp.</w:t>
      </w:r>
    </w:p>
  </w:footnote>
  <w:footnote w:id="28">
    <w:p w14:paraId="63B0BDB6"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Khoản 4 Điều 1252 BLDS Liên Bang Nga</w:t>
      </w:r>
    </w:p>
  </w:footnote>
  <w:footnote w:id="29">
    <w:p w14:paraId="0E6AE62E"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Mục 1 của Thông tư liên tịch quy định: </w:t>
      </w:r>
    </w:p>
    <w:p w14:paraId="360D3E3D"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i/>
          <w:iCs/>
          <w:noProof/>
          <w:sz w:val="18"/>
          <w:szCs w:val="18"/>
          <w:lang w:val="vi-VN"/>
        </w:rPr>
        <w:t>1.1. Về định nghĩa và dấu hiệu của hàng giả:</w:t>
      </w:r>
    </w:p>
    <w:p w14:paraId="35198799"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Định nghĩa và dấu hiệu của hàng giả đã được nêu ở Điều 3 và 4 của nghị định. Trong điều kiện hiện nay, công tác chống hàng giả cần tập trung vào những hàng hoá bị làm giả ở những dấu hiệu sau:</w:t>
      </w:r>
    </w:p>
    <w:p w14:paraId="2F73BF77"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a. Sản xuất và sử dụng nhãn giả và bao bì mang nhãn giả hoặc sử dụng nhãn của người khác, của cơ sở sản xuất khác mà không được phép của chủ nhân (bao gồm nhãn sản phẩm, nhãn hiệu hàng hoá và dấu phù hợp Tiêu chuẩn Việt Nam).</w:t>
      </w:r>
    </w:p>
    <w:p w14:paraId="06850BA1"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b. Hàng hoá không có giá trị sử dụng, không đúng với nguồn gốc, bản chất tự nhiên, tên gọi và có công dụng của nó hoặc có chất lượng dưới mức tối thiểu do Nhà nước qui định, nhằm đánh lừa, gây thiệt hại cho người tiêu dùng để thu lợi bất chính.</w:t>
      </w:r>
    </w:p>
    <w:p w14:paraId="391BD955"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i/>
          <w:iCs/>
          <w:noProof/>
          <w:sz w:val="18"/>
          <w:szCs w:val="18"/>
          <w:lang w:val="vi-VN"/>
        </w:rPr>
        <w:t>1.2. Phân biệt giữa hàng giả và hàng kém chất lượng:</w:t>
      </w:r>
    </w:p>
    <w:p w14:paraId="7C6D7468"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Sản phẩm hàng hoá có mức chất lượng thấp hơn mức chất lượng đã đăng ký và ghi nhãn sản phẩm (ê-ti-ket) song chưa vi phạm mức chất lượng tối thiểu thì chưa bị coi là hàng giả mà chỉ là kém chất lượng. Những hàng hoá này được xử lý theo Nghị định số 327-HĐBT của Hội đồng Bộ trưởng qui định về việc thi hành Pháp lệnh Chất lượng hàng hoá.</w:t>
      </w:r>
    </w:p>
    <w:p w14:paraId="0E17B484"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i/>
          <w:iCs/>
          <w:noProof/>
          <w:sz w:val="18"/>
          <w:szCs w:val="18"/>
          <w:lang w:val="vi-VN"/>
        </w:rPr>
        <w:t>1.3. Mức chất lượng tối thiểu:</w:t>
      </w:r>
    </w:p>
    <w:p w14:paraId="3E74F3CF"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noProof/>
          <w:sz w:val="18"/>
          <w:szCs w:val="18"/>
          <w:lang w:val="vi-VN"/>
        </w:rPr>
        <w:t>Mức chất lượng tối thiểu: Mức chất lượng (chủ yếu là các chỉ tiêu liên quan đến an toàn, vệ sinh và môi trường) được các Cơ quan Nhà nước có thẩm quyền (như Uỷ ban khoa học Nhà nước, Bộ Y tế, Bộ Lao động - Thương binh Xã hội) qui định dưới dạng tiêu chuẩn hoặc văn bản qui định khác. Những hàng hoá có mức chất lượng dưới mức chất lượng tối thiểu thì bị coi là hàng giả và bị xử lý theo Nghị định số 140-HĐBT.</w:t>
      </w:r>
    </w:p>
  </w:footnote>
  <w:footnote w:id="30">
    <w:p w14:paraId="27BA2D75"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Điểm đ khoản 8 Điều 3 Nghị định 06/2008/NĐ-CP ngày 16/1/2008 của Chính phủ về xử phạt vi phạm hành chính trong lĩnh vực thương mại</w:t>
      </w:r>
    </w:p>
  </w:footnote>
  <w:footnote w:id="31">
    <w:p w14:paraId="2C6EB281"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Điều 7 Pháp lệnh số 13/1999/PL-UBTVQH10 của Uỷ ban thường vụ Quốc hội ngày 27 tháng 4 năm 1999 về bảo vệ quyền lợi người tiêu dùng</w:t>
      </w:r>
    </w:p>
  </w:footnote>
  <w:footnote w:id="32">
    <w:p w14:paraId="2DC2BFE7"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Điều 4 Thông tư liên tịch số 129/2004/TTLT/BTC-BKHCN ngày 29 tháng 12 năm 2004 giữa Bộ Tài chính và Bộ Khoa học và Công nghệ hướng dẫn thi hành các biện pháp kiểm soát tại biên giới về sở hữu công nghiệp đối với hàng hoá xuất, nhập khẩu.</w:t>
      </w:r>
    </w:p>
  </w:footnote>
  <w:footnote w:id="33">
    <w:p w14:paraId="2348CDDF"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Khoản 1 điều 3 Thông tư số 44/2011/TT- BTC ngày 1/4/2011 của Bộ Tài chính hướng dẫn công tác chống hàng giả và bảo vệ quyền sở hữu trí tuệ trong lĩnh vực hải quan.</w:t>
      </w:r>
    </w:p>
  </w:footnote>
  <w:footnote w:id="34">
    <w:p w14:paraId="3B0EAC65"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Chỉ thị số 28/2008/CT-TTg ngày 8 tháng 9 năm 2008 của Thủ tướng Chính phủ về một số biện pháp cấp bách, chống hàng giả, hàng kém chất lượng.</w:t>
      </w:r>
    </w:p>
  </w:footnote>
  <w:footnote w:id="35">
    <w:p w14:paraId="3CF86400" w14:textId="77777777" w:rsidR="00582C1D" w:rsidRPr="00966A0D" w:rsidRDefault="00582C1D" w:rsidP="00041E29">
      <w:pPr>
        <w:pStyle w:val="FootnoteText"/>
        <w:spacing w:before="60" w:after="60"/>
        <w:ind w:firstLine="567"/>
        <w:contextualSpacing/>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Khoản 8 Điều 3 Nghị định số 08/2013/NĐ-CP; khoản 8 Điều 3 Nghị định số 185/2013/NĐ-CP.</w:t>
      </w:r>
    </w:p>
  </w:footnote>
  <w:footnote w:id="36">
    <w:p w14:paraId="5CE8E05E" w14:textId="77777777" w:rsidR="00582C1D" w:rsidRPr="00966A0D" w:rsidRDefault="00582C1D" w:rsidP="00EC01A0">
      <w:pPr>
        <w:pStyle w:val="FootnoteText"/>
        <w:ind w:firstLine="567"/>
        <w:jc w:val="both"/>
        <w:rPr>
          <w:i/>
          <w:iCs/>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Điều XX(b) Hiệp định GATT quy định: </w:t>
      </w:r>
      <w:r w:rsidRPr="00966A0D">
        <w:rPr>
          <w:i/>
          <w:iCs/>
          <w:noProof/>
          <w:sz w:val="18"/>
          <w:szCs w:val="18"/>
          <w:lang w:val="vi-VN"/>
        </w:rPr>
        <w:t>“Với bảo lưu rằng các biện pháp đề cập ở đây không được theo cách tạo ra công cụ phân biệt đối xử độc đoán hay phi lý giữa các nước có cùng điều kiện như nhau, hay tạo ra một sự hạn chế trá hình với thương mại quốc tế, không có quy định nào trong Hiệp định này được hiểu là ngăn cản bất kỳ bên ký kết nào thi hành hay áp dụng các biện pháp: b)      cần thiết để bảo vệ cuộc sống và sức khoẻ của con người, động vật hay thực vật;”</w:t>
      </w:r>
    </w:p>
  </w:footnote>
  <w:footnote w:id="37">
    <w:p w14:paraId="6CF45169"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Khoản 1 Điều 25 Tuyên ngôn quốc tế nhân quyền năm 1948 quy định:</w:t>
      </w:r>
      <w:r w:rsidRPr="00966A0D">
        <w:rPr>
          <w:b/>
          <w:bCs/>
          <w:noProof/>
          <w:sz w:val="18"/>
          <w:szCs w:val="18"/>
          <w:lang w:val="vi-VN"/>
        </w:rPr>
        <w:t xml:space="preserve"> </w:t>
      </w:r>
      <w:r w:rsidRPr="00966A0D">
        <w:rPr>
          <w:b/>
          <w:bCs/>
          <w:i/>
          <w:iCs/>
          <w:noProof/>
          <w:sz w:val="18"/>
          <w:szCs w:val="18"/>
          <w:lang w:val="vi-VN"/>
        </w:rPr>
        <w:t>“</w:t>
      </w:r>
      <w:r w:rsidRPr="00966A0D">
        <w:rPr>
          <w:i/>
          <w:iCs/>
          <w:noProof/>
          <w:sz w:val="18"/>
          <w:szCs w:val="18"/>
          <w:lang w:val="vi-VN"/>
        </w:rPr>
        <w:t>Ai cũng có quyền được hưởng một mức sống khả quan về phương diện sức khỏe và an lạc cho bản thân và gia đình kể cả thức ăn, quần áo, nhà ở, y tế và những dịch vụ cần thiết; ai cũng có quyền được hưởng an sinh xã hội trong trường hợp thất nghiệp, đau ốm, tật nguyền, góa bụa, già yếu, hay thiếu phương kế sinh nhai do những hoàn cảnh ngoài ý muốn.”</w:t>
      </w:r>
    </w:p>
  </w:footnote>
  <w:footnote w:id="38">
    <w:p w14:paraId="73E40C1F" w14:textId="77777777" w:rsidR="00582C1D" w:rsidRPr="00966A0D" w:rsidRDefault="00582C1D" w:rsidP="00EC01A0">
      <w:pPr>
        <w:pStyle w:val="FootnoteText"/>
        <w:ind w:firstLine="567"/>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Điều 51, Điều 61 Hiệp định TRIPS</w:t>
      </w:r>
    </w:p>
  </w:footnote>
  <w:footnote w:id="39">
    <w:p w14:paraId="0EB1FF85" w14:textId="77777777" w:rsidR="00582C1D" w:rsidRPr="00966A0D" w:rsidRDefault="00582C1D" w:rsidP="00EC01A0">
      <w:pPr>
        <w:pStyle w:val="FootnoteText"/>
        <w:ind w:firstLine="567"/>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Chương 18 Hiệp định CPTPP</w:t>
      </w:r>
    </w:p>
  </w:footnote>
  <w:footnote w:id="40">
    <w:p w14:paraId="5DA44757" w14:textId="77777777" w:rsidR="00582C1D" w:rsidRPr="00966A0D" w:rsidRDefault="00582C1D" w:rsidP="00EC01A0">
      <w:pPr>
        <w:pStyle w:val="FootnoteText"/>
        <w:ind w:firstLine="567"/>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Chương 12 Hiệp định EVFTA</w:t>
      </w:r>
    </w:p>
  </w:footnote>
  <w:footnote w:id="41">
    <w:p w14:paraId="0251AD06" w14:textId="77777777" w:rsidR="00582C1D" w:rsidRPr="00966A0D" w:rsidRDefault="00582C1D" w:rsidP="00EC01A0">
      <w:pPr>
        <w:pStyle w:val="FootnoteText"/>
        <w:ind w:firstLine="567"/>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Chương 11 Hiệp định RCEP</w:t>
      </w:r>
    </w:p>
  </w:footnote>
  <w:footnote w:id="42">
    <w:p w14:paraId="12677F8C" w14:textId="77777777" w:rsidR="00582C1D" w:rsidRPr="00966A0D" w:rsidRDefault="00582C1D" w:rsidP="00EC01A0">
      <w:pPr>
        <w:pStyle w:val="FootnoteText"/>
        <w:ind w:firstLine="567"/>
        <w:jc w:val="both"/>
        <w:rPr>
          <w:noProof/>
          <w:sz w:val="18"/>
          <w:szCs w:val="18"/>
          <w:lang w:val="vi-VN"/>
        </w:rPr>
      </w:pPr>
      <w:r w:rsidRPr="00966A0D">
        <w:rPr>
          <w:rStyle w:val="FootnoteReference"/>
          <w:rFonts w:eastAsia="DengXian Light"/>
          <w:noProof/>
          <w:sz w:val="18"/>
          <w:szCs w:val="18"/>
          <w:lang w:val="vi-VN"/>
        </w:rPr>
        <w:footnoteRef/>
      </w:r>
      <w:r w:rsidRPr="00966A0D">
        <w:rPr>
          <w:noProof/>
          <w:sz w:val="18"/>
          <w:szCs w:val="18"/>
          <w:lang w:val="vi-VN"/>
        </w:rPr>
        <w:t xml:space="preserve"> Số liệu được ước lượng trên giả định số vụ hàng giả là 5000 vụ/năm (mức trung bình theo số liệu vụ việc xử phạt trong 02 năm của Ban chỉ đạo 389 nêu tại mục I về bối cảnh trong nước). Chi phí hành chính là 14.000 đồng/ giờ (chia theo mức lương cơ sở là 2.340.000 đồng/tháng). Thời gian tiết kiệm được do dấu hiệu ban đầu rõ ràng, không cần xác minh là 07 ngày/vụ (tối thiểu) đến 60 ngày/vụ (tối đa) – theo quy định về thời gian tạm giữ tang vật để xác minh trong pháp luật về xử lý vi phạm hành chính. </w:t>
      </w:r>
    </w:p>
  </w:footnote>
  <w:footnote w:id="43">
    <w:p w14:paraId="2794D277" w14:textId="77777777" w:rsidR="00582C1D" w:rsidRPr="00966A0D" w:rsidRDefault="00582C1D" w:rsidP="00EC01A0">
      <w:pPr>
        <w:pStyle w:val="FootnoteText"/>
        <w:ind w:firstLine="567"/>
        <w:jc w:val="both"/>
        <w:rPr>
          <w:i/>
          <w:iCs/>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Điều XX(b) Hiệp định GATT quy định: </w:t>
      </w:r>
      <w:r w:rsidRPr="00966A0D">
        <w:rPr>
          <w:i/>
          <w:iCs/>
          <w:noProof/>
          <w:sz w:val="18"/>
          <w:szCs w:val="18"/>
          <w:lang w:val="vi-VN"/>
        </w:rPr>
        <w:t>“Với bảo lưu rằng các biện pháp đề cập ở đây không được theo cách tạo ra công cụ phân biệt đối xử độc đoán hay phi lý giữa các nước có cùng điều kiện như nhau, hay tạo ra một sự hạn chế trá hình với thương mại quốc tế, không có quy định nào trong Hiệp định này được hiểu là ngăn cản bất kỳ bên ký kết nào thi hành hay áp dụng các biện pháp: b)      cần thiết để bảo vệ cuộc sống và sức khoẻ của con người, động vật hay thực vật;”</w:t>
      </w:r>
    </w:p>
  </w:footnote>
  <w:footnote w:id="44">
    <w:p w14:paraId="135AD6FB"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Khoản 1 Điều 25 Tuyên ngôn quốc tế nhân quyền năm 1948 quy định:</w:t>
      </w:r>
      <w:r w:rsidRPr="00966A0D">
        <w:rPr>
          <w:b/>
          <w:bCs/>
          <w:noProof/>
          <w:sz w:val="18"/>
          <w:szCs w:val="18"/>
          <w:lang w:val="vi-VN"/>
        </w:rPr>
        <w:t xml:space="preserve"> </w:t>
      </w:r>
      <w:r w:rsidRPr="00966A0D">
        <w:rPr>
          <w:b/>
          <w:bCs/>
          <w:i/>
          <w:iCs/>
          <w:noProof/>
          <w:sz w:val="18"/>
          <w:szCs w:val="18"/>
          <w:lang w:val="vi-VN"/>
        </w:rPr>
        <w:t>“</w:t>
      </w:r>
      <w:r w:rsidRPr="00966A0D">
        <w:rPr>
          <w:i/>
          <w:iCs/>
          <w:noProof/>
          <w:sz w:val="18"/>
          <w:szCs w:val="18"/>
          <w:lang w:val="vi-VN"/>
        </w:rPr>
        <w:t>Ai cũng có quyền được hưởng một mức sống khả quan về phương diện sức khỏe và an lạc cho bản thân và gia đình kể cả thức ăn, quần áo, nhà ở, y tế và những dịch vụ cần thiết; ai cũng có quyền được hưởng an sinh xã hội trong trường hợp thất nghiệp, đau ốm, tật nguyền, góa bụa, già yếu, hay thiếu phương kế sinh nhai do những hoàn cảnh ngoài ý muốn.”</w:t>
      </w:r>
    </w:p>
  </w:footnote>
  <w:footnote w:id="45">
    <w:p w14:paraId="0574222F"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Vietnam’s Tech Startup Ecosystem Hits $3.2B in Funding with Six Unicorns, Led by Ho Chi Minh City and Hanoi, Tracxn, 2025.</w:t>
      </w:r>
    </w:p>
  </w:footnote>
  <w:footnote w:id="46">
    <w:p w14:paraId="535022E4"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Tiki, MoMo, Sky Mavis, VNPAY, VNLIFE và VNG</w:t>
      </w:r>
    </w:p>
  </w:footnote>
  <w:footnote w:id="47">
    <w:p w14:paraId="4457590C"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w:t>
      </w:r>
      <w:hyperlink r:id="rId14" w:history="1">
        <w:r w:rsidRPr="00966A0D">
          <w:rPr>
            <w:rStyle w:val="Hyperlink"/>
            <w:noProof/>
            <w:color w:val="auto"/>
            <w:sz w:val="18"/>
            <w:szCs w:val="18"/>
            <w:lang w:val="vi-VN"/>
          </w:rPr>
          <w:t>https://eur-lex.europa.eu/legal-content/EN/TXT/?uri=oj:JOC_2022_024_R_0031</w:t>
        </w:r>
      </w:hyperlink>
      <w:r w:rsidRPr="00966A0D">
        <w:rPr>
          <w:noProof/>
          <w:sz w:val="18"/>
          <w:szCs w:val="18"/>
          <w:lang w:val="vi-VN"/>
        </w:rPr>
        <w:t xml:space="preserve"> </w:t>
      </w:r>
    </w:p>
  </w:footnote>
  <w:footnote w:id="48">
    <w:p w14:paraId="6600017E"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w:t>
      </w:r>
      <w:hyperlink r:id="rId15" w:history="1">
        <w:r w:rsidRPr="00966A0D">
          <w:rPr>
            <w:rStyle w:val="Hyperlink"/>
            <w:noProof/>
            <w:color w:val="auto"/>
            <w:sz w:val="18"/>
            <w:szCs w:val="18"/>
            <w:lang w:val="vi-VN"/>
          </w:rPr>
          <w:t>https://competition-cases.ec.europa.eu/cases/AT.40462</w:t>
        </w:r>
      </w:hyperlink>
      <w:r w:rsidRPr="00966A0D">
        <w:rPr>
          <w:noProof/>
          <w:sz w:val="18"/>
          <w:szCs w:val="18"/>
          <w:lang w:val="vi-VN"/>
        </w:rPr>
        <w:t xml:space="preserve"> </w:t>
      </w:r>
    </w:p>
  </w:footnote>
  <w:footnote w:id="49">
    <w:p w14:paraId="29461A56"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Metric.vn</w:t>
      </w:r>
    </w:p>
  </w:footnote>
  <w:footnote w:id="50">
    <w:p w14:paraId="016D2DBD" w14:textId="7686399D"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hyperlink r:id="rId16" w:history="1">
        <w:r w:rsidRPr="00966A0D">
          <w:rPr>
            <w:rStyle w:val="Hyperlink"/>
            <w:noProof/>
            <w:color w:val="auto"/>
            <w:sz w:val="18"/>
            <w:szCs w:val="18"/>
            <w:lang w:val="vi-VN"/>
          </w:rPr>
          <w:t>https://www.bundeskartellamt.de/SharedDocs/Entscheidung/EN/Entscheidungen/Kartellverbot/B9-121-13.pdf?__blob=publicationFile&amp;v=2</w:t>
        </w:r>
      </w:hyperlink>
      <w:r w:rsidRPr="00966A0D">
        <w:rPr>
          <w:noProof/>
          <w:sz w:val="18"/>
          <w:szCs w:val="18"/>
          <w:lang w:val="vi-VN"/>
        </w:rPr>
        <w:t xml:space="preserve"> </w:t>
      </w:r>
    </w:p>
  </w:footnote>
  <w:footnote w:id="51">
    <w:p w14:paraId="54804CA1" w14:textId="77777777" w:rsidR="00582C1D" w:rsidRPr="00966A0D" w:rsidRDefault="00582C1D" w:rsidP="00EC01A0">
      <w:pPr>
        <w:pStyle w:val="FootnoteText"/>
        <w:ind w:firstLine="567"/>
        <w:jc w:val="both"/>
        <w:rPr>
          <w:noProof/>
          <w:sz w:val="18"/>
          <w:szCs w:val="18"/>
          <w:lang w:val="vi-VN"/>
        </w:rPr>
      </w:pPr>
      <w:r w:rsidRPr="00966A0D">
        <w:rPr>
          <w:rStyle w:val="FootnoteReference"/>
          <w:noProof/>
          <w:sz w:val="18"/>
          <w:szCs w:val="18"/>
          <w:lang w:val="vi-VN"/>
        </w:rPr>
        <w:footnoteRef/>
      </w:r>
      <w:r w:rsidRPr="00966A0D">
        <w:rPr>
          <w:noProof/>
          <w:sz w:val="18"/>
          <w:szCs w:val="18"/>
          <w:lang w:val="vi-VN"/>
        </w:rPr>
        <w:t xml:space="preserve"> Hội nghị sơ kết Kết quả hoạt động khoa học, công nghệ, đổi mới sáng tạo và chuyển đổi số 6 tháng đầu năm 2025, Bộ Khoa học Công nghệ.</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C8012" w14:textId="1541AC3D" w:rsidR="00582C1D" w:rsidRPr="00FE5240" w:rsidRDefault="00582C1D">
    <w:pPr>
      <w:pStyle w:val="Header"/>
      <w:jc w:val="center"/>
      <w:rPr>
        <w:sz w:val="24"/>
        <w:szCs w:val="24"/>
      </w:rPr>
    </w:pPr>
    <w:r w:rsidRPr="00FE5240">
      <w:rPr>
        <w:sz w:val="24"/>
        <w:szCs w:val="24"/>
      </w:rPr>
      <w:fldChar w:fldCharType="begin"/>
    </w:r>
    <w:r w:rsidRPr="00FE5240">
      <w:rPr>
        <w:sz w:val="24"/>
        <w:szCs w:val="24"/>
      </w:rPr>
      <w:instrText xml:space="preserve"> PAGE   \* MERGEFORMAT </w:instrText>
    </w:r>
    <w:r w:rsidRPr="00FE5240">
      <w:rPr>
        <w:sz w:val="24"/>
        <w:szCs w:val="24"/>
      </w:rPr>
      <w:fldChar w:fldCharType="separate"/>
    </w:r>
    <w:r w:rsidR="00CF7C57">
      <w:rPr>
        <w:noProof/>
        <w:sz w:val="24"/>
        <w:szCs w:val="24"/>
      </w:rPr>
      <w:t>2</w:t>
    </w:r>
    <w:r w:rsidRPr="00FE5240">
      <w:rPr>
        <w:noProof/>
        <w:sz w:val="24"/>
        <w:szCs w:val="24"/>
      </w:rPr>
      <w:fldChar w:fldCharType="end"/>
    </w:r>
  </w:p>
  <w:p w14:paraId="1B2A1A9E" w14:textId="77777777" w:rsidR="00582C1D" w:rsidRDefault="00582C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03306"/>
    <w:multiLevelType w:val="hybridMultilevel"/>
    <w:tmpl w:val="DD0CD39C"/>
    <w:lvl w:ilvl="0" w:tplc="AB4AD9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E755FD6"/>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F610D1"/>
    <w:multiLevelType w:val="hybridMultilevel"/>
    <w:tmpl w:val="C8FE3D7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8CA431E"/>
    <w:multiLevelType w:val="multilevel"/>
    <w:tmpl w:val="B64C2EF8"/>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16F1E"/>
    <w:multiLevelType w:val="multilevel"/>
    <w:tmpl w:val="9BC0A8CA"/>
    <w:lvl w:ilvl="0">
      <w:numFmt w:val="bullet"/>
      <w:lvlText w:val="-"/>
      <w:lvlJc w:val="left"/>
      <w:pPr>
        <w:tabs>
          <w:tab w:val="num" w:pos="720"/>
        </w:tabs>
        <w:ind w:left="720" w:hanging="360"/>
      </w:pPr>
      <w:rPr>
        <w:rFonts w:ascii="Times New Roman" w:eastAsiaTheme="minorHAnsi" w:hAnsi="Times New Roman" w:cs="Times New Roman" w:hint="default"/>
        <w:sz w:val="20"/>
      </w:rPr>
    </w:lvl>
    <w:lvl w:ilvl="1">
      <w:start w:val="1"/>
      <w:numFmt w:val="lowerRoman"/>
      <w:lvlText w:val="(%2)"/>
      <w:lvlJc w:val="left"/>
      <w:pPr>
        <w:ind w:left="1800" w:hanging="720"/>
      </w:pPr>
      <w:rPr>
        <w:rFonts w:eastAsiaTheme="minorHAnsi" w:hint="default"/>
        <w:b w:val="0"/>
        <w:bCs/>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405219"/>
    <w:multiLevelType w:val="hybridMultilevel"/>
    <w:tmpl w:val="FF2E421A"/>
    <w:lvl w:ilvl="0" w:tplc="60F646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4F3A87"/>
    <w:multiLevelType w:val="multilevel"/>
    <w:tmpl w:val="235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0332A1"/>
    <w:multiLevelType w:val="multilevel"/>
    <w:tmpl w:val="0ED21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03A52"/>
    <w:multiLevelType w:val="hybridMultilevel"/>
    <w:tmpl w:val="5594882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69A029D"/>
    <w:multiLevelType w:val="hybridMultilevel"/>
    <w:tmpl w:val="CDC0D406"/>
    <w:lvl w:ilvl="0" w:tplc="02582656">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76A0967"/>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7F3340E"/>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164A3D"/>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9761BB7"/>
    <w:multiLevelType w:val="multilevel"/>
    <w:tmpl w:val="C6D093D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015AB1"/>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911611"/>
    <w:multiLevelType w:val="hybridMultilevel"/>
    <w:tmpl w:val="751426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DF63E48"/>
    <w:multiLevelType w:val="hybridMultilevel"/>
    <w:tmpl w:val="DF10FE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71336D"/>
    <w:multiLevelType w:val="hybridMultilevel"/>
    <w:tmpl w:val="18306988"/>
    <w:lvl w:ilvl="0" w:tplc="2FC4DAC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17D0A11"/>
    <w:multiLevelType w:val="hybridMultilevel"/>
    <w:tmpl w:val="C3705528"/>
    <w:lvl w:ilvl="0" w:tplc="656670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36F28D3"/>
    <w:multiLevelType w:val="multilevel"/>
    <w:tmpl w:val="DC02D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C6247"/>
    <w:multiLevelType w:val="hybridMultilevel"/>
    <w:tmpl w:val="1E202CC8"/>
    <w:lvl w:ilvl="0" w:tplc="4244B7FA">
      <w:start w:val="1"/>
      <w:numFmt w:val="lowerLetter"/>
      <w:lvlText w:val="%1)"/>
      <w:lvlJc w:val="left"/>
      <w:pPr>
        <w:ind w:left="927" w:hanging="360"/>
      </w:pPr>
      <w:rPr>
        <w:rFonts w:ascii="Times New Roman" w:eastAsiaTheme="minorHAnsi" w:hAnsi="Times New Roman" w:cs="Times New Roman" w:hint="default"/>
        <w:i/>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343BAC"/>
    <w:multiLevelType w:val="hybridMultilevel"/>
    <w:tmpl w:val="1EA627B4"/>
    <w:lvl w:ilvl="0" w:tplc="5060C3B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D803A75"/>
    <w:multiLevelType w:val="hybridMultilevel"/>
    <w:tmpl w:val="BCBAC4DA"/>
    <w:lvl w:ilvl="0" w:tplc="FFFFFFFF">
      <w:start w:val="1"/>
      <w:numFmt w:val="lowerLetter"/>
      <w:lvlText w:val="%1)"/>
      <w:lvlJc w:val="left"/>
      <w:pPr>
        <w:ind w:left="1287" w:hanging="360"/>
      </w:pPr>
    </w:lvl>
    <w:lvl w:ilvl="1" w:tplc="0409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15:restartNumberingAfterBreak="0">
    <w:nsid w:val="60CD55AD"/>
    <w:multiLevelType w:val="hybridMultilevel"/>
    <w:tmpl w:val="08FC2DEC"/>
    <w:lvl w:ilvl="0" w:tplc="02582656">
      <w:start w:val="1"/>
      <w:numFmt w:val="bullet"/>
      <w:lvlText w:val="-"/>
      <w:lvlJc w:val="left"/>
      <w:pPr>
        <w:ind w:left="2771"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0CE05A7"/>
    <w:multiLevelType w:val="multilevel"/>
    <w:tmpl w:val="037E3940"/>
    <w:lvl w:ilvl="0">
      <w:start w:val="1"/>
      <w:numFmt w:val="decimal"/>
      <w:lvlText w:val="%1."/>
      <w:lvlJc w:val="left"/>
      <w:pPr>
        <w:ind w:left="502"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E60164"/>
    <w:multiLevelType w:val="multilevel"/>
    <w:tmpl w:val="653C172E"/>
    <w:lvl w:ilvl="0">
      <w:start w:val="1"/>
      <w:numFmt w:val="decimal"/>
      <w:lvlText w:val="%1."/>
      <w:lvlJc w:val="left"/>
      <w:pPr>
        <w:ind w:left="502" w:hanging="360"/>
      </w:pPr>
    </w:lvl>
    <w:lvl w:ilvl="1">
      <w:start w:val="2"/>
      <w:numFmt w:val="decimal"/>
      <w:isLgl/>
      <w:lvlText w:val="%1.%2."/>
      <w:lvlJc w:val="left"/>
      <w:pPr>
        <w:ind w:left="1122" w:hanging="980"/>
      </w:pPr>
      <w:rPr>
        <w:rFonts w:hint="default"/>
      </w:rPr>
    </w:lvl>
    <w:lvl w:ilvl="2">
      <w:start w:val="1"/>
      <w:numFmt w:val="decimal"/>
      <w:isLgl/>
      <w:lvlText w:val="%1.%2.%3."/>
      <w:lvlJc w:val="left"/>
      <w:pPr>
        <w:ind w:left="1122" w:hanging="980"/>
      </w:pPr>
      <w:rPr>
        <w:rFonts w:hint="default"/>
      </w:rPr>
    </w:lvl>
    <w:lvl w:ilvl="3">
      <w:start w:val="2"/>
      <w:numFmt w:val="decimal"/>
      <w:isLgl/>
      <w:lvlText w:val="%1.%2.%3.%4."/>
      <w:lvlJc w:val="left"/>
      <w:pPr>
        <w:ind w:left="1222" w:hanging="1080"/>
      </w:pPr>
      <w:rPr>
        <w:rFonts w:hint="default"/>
      </w:rPr>
    </w:lvl>
    <w:lvl w:ilvl="4">
      <w:start w:val="2"/>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62D13B45"/>
    <w:multiLevelType w:val="multilevel"/>
    <w:tmpl w:val="EE86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987DE0"/>
    <w:multiLevelType w:val="hybridMultilevel"/>
    <w:tmpl w:val="367C9AA0"/>
    <w:lvl w:ilvl="0" w:tplc="78E0940C">
      <w:start w:val="1"/>
      <w:numFmt w:val="upperRoman"/>
      <w:lvlText w:val="%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3BE01C6"/>
    <w:multiLevelType w:val="hybridMultilevel"/>
    <w:tmpl w:val="927C484C"/>
    <w:lvl w:ilvl="0" w:tplc="02582656">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60B56F2"/>
    <w:multiLevelType w:val="hybridMultilevel"/>
    <w:tmpl w:val="1E202CC8"/>
    <w:lvl w:ilvl="0" w:tplc="FFFFFFFF">
      <w:start w:val="1"/>
      <w:numFmt w:val="lowerLetter"/>
      <w:lvlText w:val="%1)"/>
      <w:lvlJc w:val="left"/>
      <w:pPr>
        <w:ind w:left="927" w:hanging="360"/>
      </w:pPr>
      <w:rPr>
        <w:rFonts w:ascii="Times New Roman" w:eastAsiaTheme="minorHAnsi" w:hAnsi="Times New Roman" w:cs="Times New Roman" w:hint="default"/>
        <w:i/>
        <w:sz w:val="28"/>
        <w:szCs w:val="2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B2047CB"/>
    <w:multiLevelType w:val="hybridMultilevel"/>
    <w:tmpl w:val="BB729E92"/>
    <w:lvl w:ilvl="0" w:tplc="F3A46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15"/>
  </w:num>
  <w:num w:numId="4">
    <w:abstractNumId w:val="25"/>
  </w:num>
  <w:num w:numId="5">
    <w:abstractNumId w:val="24"/>
  </w:num>
  <w:num w:numId="6">
    <w:abstractNumId w:val="13"/>
  </w:num>
  <w:num w:numId="7">
    <w:abstractNumId w:val="26"/>
  </w:num>
  <w:num w:numId="8">
    <w:abstractNumId w:val="17"/>
  </w:num>
  <w:num w:numId="9">
    <w:abstractNumId w:val="0"/>
  </w:num>
  <w:num w:numId="10">
    <w:abstractNumId w:val="20"/>
  </w:num>
  <w:num w:numId="11">
    <w:abstractNumId w:val="12"/>
  </w:num>
  <w:num w:numId="12">
    <w:abstractNumId w:val="10"/>
  </w:num>
  <w:num w:numId="13">
    <w:abstractNumId w:val="14"/>
  </w:num>
  <w:num w:numId="14">
    <w:abstractNumId w:val="29"/>
  </w:num>
  <w:num w:numId="15">
    <w:abstractNumId w:val="19"/>
  </w:num>
  <w:num w:numId="16">
    <w:abstractNumId w:val="4"/>
  </w:num>
  <w:num w:numId="17">
    <w:abstractNumId w:val="28"/>
  </w:num>
  <w:num w:numId="18">
    <w:abstractNumId w:val="8"/>
  </w:num>
  <w:num w:numId="19">
    <w:abstractNumId w:val="22"/>
  </w:num>
  <w:num w:numId="20">
    <w:abstractNumId w:val="3"/>
  </w:num>
  <w:num w:numId="21">
    <w:abstractNumId w:val="21"/>
  </w:num>
  <w:num w:numId="22">
    <w:abstractNumId w:val="6"/>
  </w:num>
  <w:num w:numId="23">
    <w:abstractNumId w:val="7"/>
  </w:num>
  <w:num w:numId="24">
    <w:abstractNumId w:val="9"/>
  </w:num>
  <w:num w:numId="25">
    <w:abstractNumId w:val="23"/>
  </w:num>
  <w:num w:numId="26">
    <w:abstractNumId w:val="11"/>
  </w:num>
  <w:num w:numId="27">
    <w:abstractNumId w:val="5"/>
  </w:num>
  <w:num w:numId="28">
    <w:abstractNumId w:val="18"/>
  </w:num>
  <w:num w:numId="29">
    <w:abstractNumId w:val="27"/>
  </w:num>
  <w:num w:numId="30">
    <w:abstractNumId w:val="3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78"/>
    <w:rsid w:val="00011C31"/>
    <w:rsid w:val="0001295D"/>
    <w:rsid w:val="00034921"/>
    <w:rsid w:val="00041E29"/>
    <w:rsid w:val="00043A2E"/>
    <w:rsid w:val="000456F5"/>
    <w:rsid w:val="0006222E"/>
    <w:rsid w:val="000654F9"/>
    <w:rsid w:val="0007030C"/>
    <w:rsid w:val="0007395F"/>
    <w:rsid w:val="00095B9E"/>
    <w:rsid w:val="000A1F08"/>
    <w:rsid w:val="000A67ED"/>
    <w:rsid w:val="000B5450"/>
    <w:rsid w:val="000E15BE"/>
    <w:rsid w:val="000E61FF"/>
    <w:rsid w:val="000E6EE1"/>
    <w:rsid w:val="000F0D45"/>
    <w:rsid w:val="00102578"/>
    <w:rsid w:val="001051F5"/>
    <w:rsid w:val="00107F67"/>
    <w:rsid w:val="001230A9"/>
    <w:rsid w:val="00141F41"/>
    <w:rsid w:val="00155420"/>
    <w:rsid w:val="001609E1"/>
    <w:rsid w:val="0019473A"/>
    <w:rsid w:val="001D3233"/>
    <w:rsid w:val="001E5065"/>
    <w:rsid w:val="002165C0"/>
    <w:rsid w:val="00233557"/>
    <w:rsid w:val="0027142B"/>
    <w:rsid w:val="002773C6"/>
    <w:rsid w:val="002964EC"/>
    <w:rsid w:val="002B2018"/>
    <w:rsid w:val="002C0FC5"/>
    <w:rsid w:val="002D6799"/>
    <w:rsid w:val="002F44AF"/>
    <w:rsid w:val="002F4954"/>
    <w:rsid w:val="00323733"/>
    <w:rsid w:val="00324949"/>
    <w:rsid w:val="00324E1C"/>
    <w:rsid w:val="00341621"/>
    <w:rsid w:val="003423DA"/>
    <w:rsid w:val="0034561D"/>
    <w:rsid w:val="00367604"/>
    <w:rsid w:val="00374E52"/>
    <w:rsid w:val="00381740"/>
    <w:rsid w:val="003922D8"/>
    <w:rsid w:val="003B5A15"/>
    <w:rsid w:val="003C28AD"/>
    <w:rsid w:val="003D2FE4"/>
    <w:rsid w:val="003E3830"/>
    <w:rsid w:val="003E4449"/>
    <w:rsid w:val="003F32B3"/>
    <w:rsid w:val="0042171D"/>
    <w:rsid w:val="004500A7"/>
    <w:rsid w:val="004A6DAF"/>
    <w:rsid w:val="004F3757"/>
    <w:rsid w:val="00507A9C"/>
    <w:rsid w:val="00511B35"/>
    <w:rsid w:val="00521710"/>
    <w:rsid w:val="00532492"/>
    <w:rsid w:val="00537DD6"/>
    <w:rsid w:val="00545F07"/>
    <w:rsid w:val="00581F21"/>
    <w:rsid w:val="00582C1D"/>
    <w:rsid w:val="005D4937"/>
    <w:rsid w:val="005F111A"/>
    <w:rsid w:val="00607675"/>
    <w:rsid w:val="00607E5D"/>
    <w:rsid w:val="0063779F"/>
    <w:rsid w:val="006400D7"/>
    <w:rsid w:val="006A1799"/>
    <w:rsid w:val="006B1488"/>
    <w:rsid w:val="006B670D"/>
    <w:rsid w:val="006C32DC"/>
    <w:rsid w:val="006C621E"/>
    <w:rsid w:val="0071153A"/>
    <w:rsid w:val="0077441F"/>
    <w:rsid w:val="0078686C"/>
    <w:rsid w:val="007901B5"/>
    <w:rsid w:val="00791F11"/>
    <w:rsid w:val="007A3223"/>
    <w:rsid w:val="007A7754"/>
    <w:rsid w:val="007B38FC"/>
    <w:rsid w:val="007D2BB4"/>
    <w:rsid w:val="00807D4A"/>
    <w:rsid w:val="00826590"/>
    <w:rsid w:val="00835332"/>
    <w:rsid w:val="008441AA"/>
    <w:rsid w:val="0087176B"/>
    <w:rsid w:val="00874827"/>
    <w:rsid w:val="00893D79"/>
    <w:rsid w:val="008A565F"/>
    <w:rsid w:val="008B148A"/>
    <w:rsid w:val="008D1468"/>
    <w:rsid w:val="008D18D5"/>
    <w:rsid w:val="0091405F"/>
    <w:rsid w:val="00935489"/>
    <w:rsid w:val="00966A0D"/>
    <w:rsid w:val="00975B4D"/>
    <w:rsid w:val="009900A4"/>
    <w:rsid w:val="009C12D4"/>
    <w:rsid w:val="009C4936"/>
    <w:rsid w:val="009C7304"/>
    <w:rsid w:val="009F4798"/>
    <w:rsid w:val="009F4D93"/>
    <w:rsid w:val="00A11A66"/>
    <w:rsid w:val="00A156E2"/>
    <w:rsid w:val="00A17648"/>
    <w:rsid w:val="00A20AD9"/>
    <w:rsid w:val="00A46A62"/>
    <w:rsid w:val="00A74A29"/>
    <w:rsid w:val="00A86478"/>
    <w:rsid w:val="00A94A31"/>
    <w:rsid w:val="00A97C72"/>
    <w:rsid w:val="00AA6F69"/>
    <w:rsid w:val="00AE09E6"/>
    <w:rsid w:val="00AE79B5"/>
    <w:rsid w:val="00AF7A80"/>
    <w:rsid w:val="00B0149A"/>
    <w:rsid w:val="00B35916"/>
    <w:rsid w:val="00B6424B"/>
    <w:rsid w:val="00B74600"/>
    <w:rsid w:val="00BA0E6B"/>
    <w:rsid w:val="00BD1935"/>
    <w:rsid w:val="00BE5E25"/>
    <w:rsid w:val="00C01CA4"/>
    <w:rsid w:val="00C16250"/>
    <w:rsid w:val="00C1643A"/>
    <w:rsid w:val="00C62464"/>
    <w:rsid w:val="00C75A71"/>
    <w:rsid w:val="00C95058"/>
    <w:rsid w:val="00C952EE"/>
    <w:rsid w:val="00CE716A"/>
    <w:rsid w:val="00CF556C"/>
    <w:rsid w:val="00CF7C57"/>
    <w:rsid w:val="00D07631"/>
    <w:rsid w:val="00D21AF2"/>
    <w:rsid w:val="00D22F14"/>
    <w:rsid w:val="00D31383"/>
    <w:rsid w:val="00D53293"/>
    <w:rsid w:val="00D62B53"/>
    <w:rsid w:val="00D668B8"/>
    <w:rsid w:val="00DB255E"/>
    <w:rsid w:val="00DB3D16"/>
    <w:rsid w:val="00DB7055"/>
    <w:rsid w:val="00DC764C"/>
    <w:rsid w:val="00E065DA"/>
    <w:rsid w:val="00E07633"/>
    <w:rsid w:val="00E13FB9"/>
    <w:rsid w:val="00E36397"/>
    <w:rsid w:val="00E67795"/>
    <w:rsid w:val="00E72049"/>
    <w:rsid w:val="00E92BBE"/>
    <w:rsid w:val="00EB2B9A"/>
    <w:rsid w:val="00EC01A0"/>
    <w:rsid w:val="00ED5C78"/>
    <w:rsid w:val="00ED5E38"/>
    <w:rsid w:val="00EE4315"/>
    <w:rsid w:val="00F0346C"/>
    <w:rsid w:val="00F10684"/>
    <w:rsid w:val="00F35892"/>
    <w:rsid w:val="00F42BF6"/>
    <w:rsid w:val="00F711FC"/>
    <w:rsid w:val="00F72663"/>
    <w:rsid w:val="00F76D23"/>
    <w:rsid w:val="00F862E4"/>
    <w:rsid w:val="00F866F8"/>
    <w:rsid w:val="00F97E29"/>
    <w:rsid w:val="00FA5337"/>
    <w:rsid w:val="00FC648A"/>
    <w:rsid w:val="00FC6E51"/>
    <w:rsid w:val="00FD5E31"/>
    <w:rsid w:val="00FE0D89"/>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EE2F5"/>
  <w15:chartTrackingRefBased/>
  <w15:docId w15:val="{4482F00F-542B-6C45-B95E-F644F9ED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0" w:unhideWhenUsed="1"/>
    <w:lsdException w:name="heading 3" w:semiHidden="1" w:uiPriority="0"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C78"/>
    <w:rPr>
      <w:rFonts w:ascii="Times New Roman" w:eastAsia="Times New Roman" w:hAnsi="Times New Roman" w:cs="Times New Roman"/>
      <w:sz w:val="28"/>
      <w:szCs w:val="28"/>
      <w:lang w:val="en-US"/>
    </w:rPr>
  </w:style>
  <w:style w:type="paragraph" w:styleId="Heading1">
    <w:name w:val="heading 1"/>
    <w:basedOn w:val="Normal"/>
    <w:next w:val="Normal"/>
    <w:link w:val="Heading1Char"/>
    <w:autoRedefine/>
    <w:uiPriority w:val="9"/>
    <w:rsid w:val="006400D7"/>
    <w:pPr>
      <w:keepNext/>
      <w:snapToGrid w:val="0"/>
      <w:spacing w:before="120" w:after="120"/>
      <w:ind w:firstLine="709"/>
      <w:jc w:val="both"/>
      <w:outlineLvl w:val="0"/>
    </w:pPr>
    <w:rPr>
      <w:b/>
      <w:bCs/>
      <w:noProof/>
      <w:sz w:val="26"/>
      <w:szCs w:val="26"/>
      <w:lang w:val="vi-VN"/>
    </w:rPr>
  </w:style>
  <w:style w:type="paragraph" w:styleId="Heading2">
    <w:name w:val="heading 2"/>
    <w:basedOn w:val="Normal"/>
    <w:next w:val="Normal"/>
    <w:link w:val="Heading2Char"/>
    <w:autoRedefine/>
    <w:rsid w:val="0027142B"/>
    <w:pPr>
      <w:widowControl w:val="0"/>
      <w:spacing w:before="120" w:after="120" w:line="340" w:lineRule="exact"/>
      <w:ind w:firstLine="720"/>
      <w:contextualSpacing/>
      <w:jc w:val="both"/>
      <w:outlineLvl w:val="1"/>
    </w:pPr>
    <w:rPr>
      <w:b/>
      <w:bCs/>
      <w:i/>
      <w:iCs/>
      <w:noProof/>
      <w:color w:val="000000" w:themeColor="text1"/>
      <w:sz w:val="26"/>
      <w:szCs w:val="26"/>
      <w:lang w:val="vi-VN"/>
    </w:rPr>
  </w:style>
  <w:style w:type="paragraph" w:styleId="Heading3">
    <w:name w:val="heading 3"/>
    <w:basedOn w:val="Normal"/>
    <w:next w:val="Normal"/>
    <w:link w:val="Heading3Char"/>
    <w:rsid w:val="00F10684"/>
    <w:pPr>
      <w:keepNext/>
      <w:spacing w:before="120" w:after="120" w:line="340" w:lineRule="exact"/>
      <w:jc w:val="both"/>
      <w:outlineLvl w:val="2"/>
    </w:pPr>
    <w:rPr>
      <w:rFonts w:cs="Arial"/>
      <w:b/>
      <w:bCs/>
      <w:i/>
      <w:sz w:val="26"/>
      <w:szCs w:val="26"/>
    </w:rPr>
  </w:style>
  <w:style w:type="paragraph" w:styleId="Heading4">
    <w:name w:val="heading 4"/>
    <w:basedOn w:val="Normal"/>
    <w:next w:val="Normal"/>
    <w:link w:val="Heading4Char"/>
    <w:uiPriority w:val="9"/>
    <w:qFormat/>
    <w:rsid w:val="0042171D"/>
    <w:pPr>
      <w:keepNext/>
      <w:spacing w:before="240" w:after="60"/>
      <w:jc w:val="both"/>
      <w:outlineLvl w:val="3"/>
    </w:pPr>
    <w:rPr>
      <w:b/>
      <w:bCs/>
      <w:i/>
      <w:sz w:val="26"/>
    </w:rPr>
  </w:style>
  <w:style w:type="paragraph" w:styleId="Heading5">
    <w:name w:val="heading 5"/>
    <w:basedOn w:val="Normal"/>
    <w:next w:val="Normal"/>
    <w:link w:val="Heading5Char"/>
    <w:uiPriority w:val="9"/>
    <w:qFormat/>
    <w:rsid w:val="00ED5C78"/>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ED5C78"/>
    <w:pPr>
      <w:keepNext/>
      <w:keepLines/>
      <w:spacing w:before="40"/>
      <w:outlineLvl w:val="5"/>
    </w:pPr>
    <w:rPr>
      <w:rFonts w:ascii="Calibri" w:eastAsia="DengXian Light" w:hAnsi="Calibri"/>
      <w:i/>
      <w:iCs/>
      <w:color w:val="595959"/>
    </w:rPr>
  </w:style>
  <w:style w:type="paragraph" w:styleId="Heading7">
    <w:name w:val="heading 7"/>
    <w:basedOn w:val="Normal"/>
    <w:next w:val="Normal"/>
    <w:link w:val="Heading7Char"/>
    <w:uiPriority w:val="9"/>
    <w:semiHidden/>
    <w:unhideWhenUsed/>
    <w:qFormat/>
    <w:rsid w:val="00ED5C78"/>
    <w:pPr>
      <w:keepNext/>
      <w:keepLines/>
      <w:spacing w:before="40"/>
      <w:outlineLvl w:val="6"/>
    </w:pPr>
    <w:rPr>
      <w:rFonts w:ascii="Calibri" w:eastAsia="DengXian Light" w:hAnsi="Calibri"/>
      <w:color w:val="595959"/>
    </w:rPr>
  </w:style>
  <w:style w:type="paragraph" w:styleId="Heading8">
    <w:name w:val="heading 8"/>
    <w:basedOn w:val="Normal"/>
    <w:next w:val="Normal"/>
    <w:link w:val="Heading8Char"/>
    <w:uiPriority w:val="9"/>
    <w:semiHidden/>
    <w:unhideWhenUsed/>
    <w:qFormat/>
    <w:rsid w:val="00ED5C78"/>
    <w:pPr>
      <w:keepNext/>
      <w:keepLines/>
      <w:outlineLvl w:val="7"/>
    </w:pPr>
    <w:rPr>
      <w:rFonts w:ascii="Calibri" w:eastAsia="DengXian Light" w:hAnsi="Calibri"/>
      <w:i/>
      <w:iCs/>
      <w:color w:val="272727"/>
    </w:rPr>
  </w:style>
  <w:style w:type="paragraph" w:styleId="Heading9">
    <w:name w:val="heading 9"/>
    <w:basedOn w:val="Normal"/>
    <w:next w:val="Normal"/>
    <w:link w:val="Heading9Char"/>
    <w:uiPriority w:val="9"/>
    <w:semiHidden/>
    <w:unhideWhenUsed/>
    <w:qFormat/>
    <w:rsid w:val="00ED5C78"/>
    <w:pPr>
      <w:keepNext/>
      <w:keepLines/>
      <w:outlineLvl w:val="8"/>
    </w:pPr>
    <w:rPr>
      <w:rFonts w:ascii="Calibri" w:eastAsia="DengXian Light" w:hAnsi="Calibr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00D7"/>
    <w:rPr>
      <w:rFonts w:ascii="Times New Roman" w:eastAsia="Times New Roman" w:hAnsi="Times New Roman" w:cs="Times New Roman"/>
      <w:b/>
      <w:bCs/>
      <w:noProof/>
      <w:sz w:val="26"/>
      <w:szCs w:val="26"/>
      <w:lang w:val="vi-VN"/>
    </w:rPr>
  </w:style>
  <w:style w:type="character" w:customStyle="1" w:styleId="Heading2Char">
    <w:name w:val="Heading 2 Char"/>
    <w:basedOn w:val="DefaultParagraphFont"/>
    <w:link w:val="Heading2"/>
    <w:rsid w:val="0027142B"/>
    <w:rPr>
      <w:rFonts w:ascii="Times New Roman" w:eastAsia="Times New Roman" w:hAnsi="Times New Roman" w:cs="Times New Roman"/>
      <w:b/>
      <w:bCs/>
      <w:i/>
      <w:iCs/>
      <w:noProof/>
      <w:color w:val="000000" w:themeColor="text1"/>
      <w:sz w:val="26"/>
      <w:szCs w:val="26"/>
      <w:lang w:val="vi-VN"/>
    </w:rPr>
  </w:style>
  <w:style w:type="character" w:customStyle="1" w:styleId="Heading3Char">
    <w:name w:val="Heading 3 Char"/>
    <w:basedOn w:val="DefaultParagraphFont"/>
    <w:link w:val="Heading3"/>
    <w:rsid w:val="00F10684"/>
    <w:rPr>
      <w:rFonts w:ascii="Times New Roman" w:eastAsia="Times New Roman" w:hAnsi="Times New Roman" w:cs="Arial"/>
      <w:b/>
      <w:bCs/>
      <w:i/>
      <w:sz w:val="26"/>
      <w:szCs w:val="26"/>
      <w:lang w:val="en-US"/>
    </w:rPr>
  </w:style>
  <w:style w:type="character" w:customStyle="1" w:styleId="Heading4Char">
    <w:name w:val="Heading 4 Char"/>
    <w:basedOn w:val="DefaultParagraphFont"/>
    <w:link w:val="Heading4"/>
    <w:uiPriority w:val="9"/>
    <w:rsid w:val="0042171D"/>
    <w:rPr>
      <w:rFonts w:ascii="Times New Roman" w:eastAsia="Times New Roman" w:hAnsi="Times New Roman" w:cs="Times New Roman"/>
      <w:b/>
      <w:bCs/>
      <w:i/>
      <w:sz w:val="26"/>
      <w:szCs w:val="28"/>
      <w:lang w:val="en-US"/>
    </w:rPr>
  </w:style>
  <w:style w:type="character" w:customStyle="1" w:styleId="Heading5Char">
    <w:name w:val="Heading 5 Char"/>
    <w:basedOn w:val="DefaultParagraphFont"/>
    <w:link w:val="Heading5"/>
    <w:uiPriority w:val="9"/>
    <w:rsid w:val="00ED5C78"/>
    <w:rPr>
      <w:rFonts w:ascii="Times New Roman" w:eastAsia="Times New Roman" w:hAnsi="Times New Roman" w:cs="Times New Roman"/>
      <w:b/>
      <w:bCs/>
      <w:i/>
      <w:iCs/>
      <w:sz w:val="26"/>
      <w:szCs w:val="26"/>
      <w:lang w:val="en-US"/>
    </w:rPr>
  </w:style>
  <w:style w:type="character" w:customStyle="1" w:styleId="Heading6Char">
    <w:name w:val="Heading 6 Char"/>
    <w:basedOn w:val="DefaultParagraphFont"/>
    <w:link w:val="Heading6"/>
    <w:uiPriority w:val="9"/>
    <w:rsid w:val="00ED5C78"/>
    <w:rPr>
      <w:rFonts w:ascii="Calibri" w:eastAsia="DengXian Light" w:hAnsi="Calibri" w:cs="Times New Roman"/>
      <w:i/>
      <w:iCs/>
      <w:color w:val="595959"/>
      <w:sz w:val="28"/>
      <w:szCs w:val="28"/>
      <w:lang w:val="en-US"/>
    </w:rPr>
  </w:style>
  <w:style w:type="character" w:customStyle="1" w:styleId="Heading7Char">
    <w:name w:val="Heading 7 Char"/>
    <w:basedOn w:val="DefaultParagraphFont"/>
    <w:link w:val="Heading7"/>
    <w:uiPriority w:val="9"/>
    <w:semiHidden/>
    <w:rsid w:val="00ED5C78"/>
    <w:rPr>
      <w:rFonts w:ascii="Calibri" w:eastAsia="DengXian Light" w:hAnsi="Calibri" w:cs="Times New Roman"/>
      <w:color w:val="595959"/>
      <w:sz w:val="28"/>
      <w:szCs w:val="28"/>
      <w:lang w:val="en-US"/>
    </w:rPr>
  </w:style>
  <w:style w:type="character" w:customStyle="1" w:styleId="Heading8Char">
    <w:name w:val="Heading 8 Char"/>
    <w:basedOn w:val="DefaultParagraphFont"/>
    <w:link w:val="Heading8"/>
    <w:uiPriority w:val="9"/>
    <w:semiHidden/>
    <w:rsid w:val="00ED5C78"/>
    <w:rPr>
      <w:rFonts w:ascii="Calibri" w:eastAsia="DengXian Light" w:hAnsi="Calibri" w:cs="Times New Roman"/>
      <w:i/>
      <w:iCs/>
      <w:color w:val="272727"/>
      <w:sz w:val="28"/>
      <w:szCs w:val="28"/>
      <w:lang w:val="en-US"/>
    </w:rPr>
  </w:style>
  <w:style w:type="character" w:customStyle="1" w:styleId="Heading9Char">
    <w:name w:val="Heading 9 Char"/>
    <w:basedOn w:val="DefaultParagraphFont"/>
    <w:link w:val="Heading9"/>
    <w:uiPriority w:val="9"/>
    <w:semiHidden/>
    <w:rsid w:val="00ED5C78"/>
    <w:rPr>
      <w:rFonts w:ascii="Calibri" w:eastAsia="DengXian Light" w:hAnsi="Calibri" w:cs="Times New Roman"/>
      <w:color w:val="272727"/>
      <w:sz w:val="28"/>
      <w:szCs w:val="28"/>
      <w:lang w:val="en-US"/>
    </w:rPr>
  </w:style>
  <w:style w:type="paragraph" w:customStyle="1" w:styleId="Style1">
    <w:name w:val="Style1"/>
    <w:basedOn w:val="Heading1"/>
    <w:rsid w:val="00ED5C78"/>
    <w:pPr>
      <w:spacing w:line="360" w:lineRule="auto"/>
      <w:ind w:firstLine="720"/>
    </w:pPr>
    <w:rPr>
      <w:bCs w:val="0"/>
      <w:szCs w:val="24"/>
      <w:lang w:val="fr-CA"/>
    </w:rPr>
  </w:style>
  <w:style w:type="paragraph" w:customStyle="1" w:styleId="StyleHeading313ptFirstline127cmBefore6pt">
    <w:name w:val="Style Heading 3 + 13 pt First line:  1.27 cm Before:  6 pt"/>
    <w:basedOn w:val="Heading3"/>
    <w:rsid w:val="00ED5C78"/>
    <w:pPr>
      <w:keepNext w:val="0"/>
      <w:spacing w:after="0" w:line="360" w:lineRule="auto"/>
      <w:ind w:firstLine="720"/>
    </w:pPr>
    <w:rPr>
      <w:rFonts w:cs="Times New Roman"/>
      <w:szCs w:val="20"/>
    </w:rPr>
  </w:style>
  <w:style w:type="paragraph" w:customStyle="1" w:styleId="StyleHeading4NotItalic">
    <w:name w:val="Style Heading 4 + Not Italic"/>
    <w:basedOn w:val="Heading4"/>
    <w:rsid w:val="00ED5C78"/>
  </w:style>
  <w:style w:type="character" w:customStyle="1" w:styleId="Style2">
    <w:name w:val="Style2"/>
    <w:rsid w:val="00ED5C78"/>
    <w:rPr>
      <w:rFonts w:ascii="Times New Roman" w:hAnsi="Times New Roman"/>
      <w:sz w:val="32"/>
      <w:szCs w:val="32"/>
    </w:rPr>
  </w:style>
  <w:style w:type="paragraph" w:customStyle="1" w:styleId="Style3">
    <w:name w:val="Style3"/>
    <w:basedOn w:val="Heading2"/>
    <w:rsid w:val="00ED5C78"/>
    <w:pPr>
      <w:spacing w:line="400" w:lineRule="exact"/>
    </w:pPr>
  </w:style>
  <w:style w:type="paragraph" w:customStyle="1" w:styleId="Style4">
    <w:name w:val="Style4"/>
    <w:basedOn w:val="Heading3"/>
    <w:rsid w:val="00ED5C78"/>
    <w:pPr>
      <w:spacing w:line="400" w:lineRule="exact"/>
    </w:pPr>
    <w:rPr>
      <w:sz w:val="28"/>
      <w:szCs w:val="28"/>
    </w:rPr>
  </w:style>
  <w:style w:type="paragraph" w:customStyle="1" w:styleId="Style5">
    <w:name w:val="Style5"/>
    <w:basedOn w:val="Heading4"/>
    <w:rsid w:val="00ED5C78"/>
    <w:pPr>
      <w:spacing w:before="120" w:line="400" w:lineRule="exact"/>
    </w:pPr>
    <w:rPr>
      <w:lang w:val="pt-BR"/>
    </w:rPr>
  </w:style>
  <w:style w:type="paragraph" w:customStyle="1" w:styleId="Style6">
    <w:name w:val="Style6"/>
    <w:basedOn w:val="Heading5"/>
    <w:rsid w:val="00ED5C78"/>
    <w:pPr>
      <w:spacing w:before="120"/>
    </w:pPr>
    <w:rPr>
      <w:lang w:val="pt-BR"/>
    </w:rPr>
  </w:style>
  <w:style w:type="character" w:styleId="FootnoteReference">
    <w:name w:val="footnote reference"/>
    <w:aliases w:val="Footnote text, BVI fnr,Re,Footnote dich,Footnote Reference Number,Footnote Reference_LVL6,Footnote text + 13 pt,Footnote,Footnote + Arial,10 pt,Black,ftref,(NECG) Footnote Reference,Footnote symbol,Footnote reference number,note TESI"/>
    <w:link w:val="4GCharCharChar"/>
    <w:uiPriority w:val="99"/>
    <w:qFormat/>
    <w:rsid w:val="00ED5C78"/>
    <w:rPr>
      <w:vertAlign w:val="superscript"/>
    </w:rPr>
  </w:style>
  <w:style w:type="table" w:styleId="TableGrid">
    <w:name w:val="Table Grid"/>
    <w:basedOn w:val="TableNormal"/>
    <w:uiPriority w:val="59"/>
    <w:qFormat/>
    <w:rsid w:val="00ED5C78"/>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D5C78"/>
    <w:rPr>
      <w:color w:val="0000FF"/>
      <w:u w:val="single"/>
    </w:rPr>
  </w:style>
  <w:style w:type="paragraph" w:styleId="Footer">
    <w:name w:val="footer"/>
    <w:basedOn w:val="Normal"/>
    <w:link w:val="FooterChar"/>
    <w:rsid w:val="00ED5C78"/>
    <w:pPr>
      <w:tabs>
        <w:tab w:val="center" w:pos="4320"/>
        <w:tab w:val="right" w:pos="8640"/>
      </w:tabs>
    </w:pPr>
  </w:style>
  <w:style w:type="character" w:customStyle="1" w:styleId="FooterChar">
    <w:name w:val="Footer Char"/>
    <w:basedOn w:val="DefaultParagraphFont"/>
    <w:link w:val="Footer"/>
    <w:rsid w:val="00ED5C78"/>
    <w:rPr>
      <w:rFonts w:ascii="Times New Roman" w:eastAsia="Times New Roman" w:hAnsi="Times New Roman" w:cs="Times New Roman"/>
      <w:sz w:val="28"/>
      <w:szCs w:val="28"/>
      <w:lang w:val="en-US"/>
    </w:rPr>
  </w:style>
  <w:style w:type="character" w:styleId="PageNumber">
    <w:name w:val="page number"/>
    <w:basedOn w:val="DefaultParagraphFont"/>
    <w:rsid w:val="00ED5C78"/>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ED5C78"/>
    <w:pPr>
      <w:spacing w:after="200" w:line="276" w:lineRule="auto"/>
      <w:ind w:left="720"/>
      <w:contextualSpacing/>
    </w:pPr>
    <w:rPr>
      <w:rFonts w:ascii="Calibri" w:eastAsia="Calibri" w:hAnsi="Calibri"/>
      <w:sz w:val="22"/>
      <w:szCs w:val="22"/>
    </w:rPr>
  </w:style>
  <w:style w:type="paragraph" w:styleId="NormalWeb">
    <w:name w:val="Normal (Web)"/>
    <w:aliases w:val="Обычный (веб)1,Обычный (веб) Знак,Обычный (веб) Знак1,Обычный (веб) Знак Знак,Normal (Web) Char Char Char Char Char, Char Char Char, Char Char,Char Char Char Char Char Char Char Char Char Char Char Char Char Char Char,Char Cha,Char C,Char8"/>
    <w:basedOn w:val="Normal"/>
    <w:link w:val="NormalWebChar"/>
    <w:uiPriority w:val="99"/>
    <w:unhideWhenUsed/>
    <w:qFormat/>
    <w:rsid w:val="00ED5C78"/>
    <w:pPr>
      <w:spacing w:before="100" w:beforeAutospacing="1" w:after="100" w:afterAutospacing="1"/>
    </w:pPr>
    <w:rPr>
      <w:sz w:val="24"/>
      <w:szCs w:val="24"/>
    </w:rPr>
  </w:style>
  <w:style w:type="paragraph" w:customStyle="1" w:styleId="n-dieund">
    <w:name w:val="n-dieund"/>
    <w:basedOn w:val="Normal"/>
    <w:uiPriority w:val="99"/>
    <w:rsid w:val="00ED5C78"/>
    <w:pPr>
      <w:widowControl w:val="0"/>
      <w:spacing w:after="120"/>
      <w:ind w:firstLine="709"/>
      <w:jc w:val="both"/>
    </w:pPr>
    <w:rPr>
      <w:color w:val="000000"/>
    </w:rPr>
  </w:style>
  <w:style w:type="paragraph" w:styleId="BodyText">
    <w:name w:val="Body Text"/>
    <w:basedOn w:val="Normal"/>
    <w:link w:val="BodyTextChar"/>
    <w:rsid w:val="00ED5C78"/>
    <w:rPr>
      <w:rFonts w:ascii=".VnTime" w:hAnsi=".VnTime"/>
      <w:i/>
      <w:iCs/>
      <w:szCs w:val="24"/>
      <w:lang w:val="x-none" w:eastAsia="x-none"/>
    </w:rPr>
  </w:style>
  <w:style w:type="character" w:customStyle="1" w:styleId="BodyTextChar">
    <w:name w:val="Body Text Char"/>
    <w:basedOn w:val="DefaultParagraphFont"/>
    <w:link w:val="BodyText"/>
    <w:rsid w:val="00ED5C78"/>
    <w:rPr>
      <w:rFonts w:ascii=".VnTime" w:eastAsia="Times New Roman" w:hAnsi=".VnTime" w:cs="Times New Roman"/>
      <w:i/>
      <w:iCs/>
      <w:sz w:val="28"/>
      <w:lang w:val="x-none" w:eastAsia="x-none"/>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
    <w:uiPriority w:val="99"/>
    <w:unhideWhenUsed/>
    <w:qFormat/>
    <w:rsid w:val="00ED5C78"/>
    <w:rPr>
      <w:sz w:val="20"/>
      <w:szCs w:val="20"/>
    </w:rPr>
  </w:style>
  <w:style w:type="character" w:customStyle="1" w:styleId="FootnoteTextChar">
    <w:name w:val="Footnote Text Char"/>
    <w:aliases w:val="fn Char1,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qFormat/>
    <w:rsid w:val="00ED5C78"/>
    <w:rPr>
      <w:rFonts w:ascii="Times New Roman" w:eastAsia="Times New Roman" w:hAnsi="Times New Roman" w:cs="Times New Roman"/>
      <w:sz w:val="20"/>
      <w:szCs w:val="20"/>
      <w:lang w:val="en-US"/>
    </w:rPr>
  </w:style>
  <w:style w:type="paragraph" w:customStyle="1" w:styleId="Normal1">
    <w:name w:val="Normal1"/>
    <w:basedOn w:val="Normal"/>
    <w:rsid w:val="00ED5C78"/>
    <w:pPr>
      <w:spacing w:before="100" w:beforeAutospacing="1" w:after="100" w:afterAutospacing="1"/>
    </w:pPr>
    <w:rPr>
      <w:sz w:val="24"/>
      <w:szCs w:val="24"/>
    </w:rPr>
  </w:style>
  <w:style w:type="paragraph" w:customStyle="1" w:styleId="Default">
    <w:name w:val="Default"/>
    <w:rsid w:val="00ED5C78"/>
    <w:pPr>
      <w:autoSpaceDE w:val="0"/>
      <w:autoSpaceDN w:val="0"/>
      <w:adjustRightInd w:val="0"/>
    </w:pPr>
    <w:rPr>
      <w:rFonts w:ascii="Times New Roman" w:eastAsia="Times New Roman" w:hAnsi="Times New Roman" w:cs="Times New Roman"/>
      <w:color w:val="000000"/>
      <w:lang w:val="en-US"/>
    </w:rPr>
  </w:style>
  <w:style w:type="paragraph" w:styleId="BalloonText">
    <w:name w:val="Balloon Text"/>
    <w:basedOn w:val="Normal"/>
    <w:link w:val="BalloonTextChar"/>
    <w:rsid w:val="00ED5C78"/>
    <w:rPr>
      <w:rFonts w:ascii="Tahoma" w:hAnsi="Tahoma"/>
      <w:sz w:val="16"/>
      <w:szCs w:val="16"/>
      <w:lang w:val="x-none" w:eastAsia="x-none"/>
    </w:rPr>
  </w:style>
  <w:style w:type="character" w:customStyle="1" w:styleId="BalloonTextChar">
    <w:name w:val="Balloon Text Char"/>
    <w:basedOn w:val="DefaultParagraphFont"/>
    <w:link w:val="BalloonText"/>
    <w:rsid w:val="00ED5C78"/>
    <w:rPr>
      <w:rFonts w:ascii="Tahoma" w:eastAsia="Times New Roman" w:hAnsi="Tahoma" w:cs="Times New Roman"/>
      <w:sz w:val="16"/>
      <w:szCs w:val="16"/>
      <w:lang w:val="x-none" w:eastAsia="x-none"/>
    </w:rPr>
  </w:style>
  <w:style w:type="character" w:styleId="Strong">
    <w:name w:val="Strong"/>
    <w:uiPriority w:val="22"/>
    <w:qFormat/>
    <w:rsid w:val="00ED5C78"/>
    <w:rPr>
      <w:b/>
      <w:bCs/>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 Char Char Char Char, Char Char Char1,Char Cha Char,Char C Char,Char8 Char"/>
    <w:link w:val="NormalWeb"/>
    <w:uiPriority w:val="99"/>
    <w:locked/>
    <w:rsid w:val="00ED5C78"/>
    <w:rPr>
      <w:rFonts w:ascii="Times New Roman" w:eastAsia="Times New Roman" w:hAnsi="Times New Roman" w:cs="Times New Roman"/>
      <w:lang w:val="en-US"/>
    </w:rPr>
  </w:style>
  <w:style w:type="paragraph" w:styleId="Header">
    <w:name w:val="header"/>
    <w:basedOn w:val="Normal"/>
    <w:link w:val="HeaderChar"/>
    <w:uiPriority w:val="99"/>
    <w:rsid w:val="00ED5C78"/>
    <w:pPr>
      <w:tabs>
        <w:tab w:val="center" w:pos="4680"/>
        <w:tab w:val="right" w:pos="9360"/>
      </w:tabs>
    </w:pPr>
  </w:style>
  <w:style w:type="character" w:customStyle="1" w:styleId="HeaderChar">
    <w:name w:val="Header Char"/>
    <w:basedOn w:val="DefaultParagraphFont"/>
    <w:link w:val="Header"/>
    <w:uiPriority w:val="99"/>
    <w:rsid w:val="00ED5C78"/>
    <w:rPr>
      <w:rFonts w:ascii="Times New Roman" w:eastAsia="Times New Roman" w:hAnsi="Times New Roman" w:cs="Times New Roman"/>
      <w:sz w:val="28"/>
      <w:szCs w:val="28"/>
      <w:lang w:val="en-US"/>
    </w:rPr>
  </w:style>
  <w:style w:type="character" w:styleId="Emphasis">
    <w:name w:val="Emphasis"/>
    <w:uiPriority w:val="20"/>
    <w:qFormat/>
    <w:rsid w:val="00ED5C78"/>
    <w:rPr>
      <w:i/>
      <w:iCs/>
    </w:rPr>
  </w:style>
  <w:style w:type="character" w:customStyle="1" w:styleId="FootnoteTextChar2">
    <w:name w:val="Footnote Text Char2"/>
    <w:aliases w:val="fn Char,Footnote Text Char1 Char1 Char1,Footnote Text Char Char Char1 Char1,Footnote Text Char1 Char Char Char1,Footnote Text Char Char Char Char Char Char Char Char2,Footnote Text Char Char Char Char Char Char Char Char Char1"/>
    <w:uiPriority w:val="99"/>
    <w:rsid w:val="00ED5C78"/>
    <w:rPr>
      <w:rFonts w:eastAsia="Times New Roman"/>
      <w:position w:val="-1"/>
      <w:sz w:val="20"/>
      <w:szCs w:val="20"/>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ED5C78"/>
    <w:rPr>
      <w:rFonts w:ascii="Calibri" w:eastAsia="Calibri" w:hAnsi="Calibri" w:cs="Times New Roman"/>
      <w:sz w:val="22"/>
      <w:szCs w:val="22"/>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ED5C78"/>
    <w:pPr>
      <w:spacing w:before="100" w:line="240" w:lineRule="exact"/>
      <w:ind w:firstLine="720"/>
      <w:jc w:val="both"/>
    </w:pPr>
    <w:rPr>
      <w:rFonts w:asciiTheme="minorHAnsi" w:eastAsiaTheme="minorHAnsi" w:hAnsiTheme="minorHAnsi" w:cstheme="minorBidi"/>
      <w:sz w:val="24"/>
      <w:szCs w:val="24"/>
      <w:vertAlign w:val="superscript"/>
      <w:lang w:val="en-AU"/>
    </w:rPr>
  </w:style>
  <w:style w:type="paragraph" w:styleId="BodyTextIndent">
    <w:name w:val="Body Text Indent"/>
    <w:basedOn w:val="Normal"/>
    <w:link w:val="BodyTextIndentChar"/>
    <w:rsid w:val="00ED5C78"/>
    <w:pPr>
      <w:spacing w:after="120"/>
      <w:ind w:left="360"/>
    </w:pPr>
  </w:style>
  <w:style w:type="character" w:customStyle="1" w:styleId="BodyTextIndentChar">
    <w:name w:val="Body Text Indent Char"/>
    <w:basedOn w:val="DefaultParagraphFont"/>
    <w:link w:val="BodyTextIndent"/>
    <w:rsid w:val="00ED5C78"/>
    <w:rPr>
      <w:rFonts w:ascii="Times New Roman" w:eastAsia="Times New Roman" w:hAnsi="Times New Roman" w:cs="Times New Roman"/>
      <w:sz w:val="28"/>
      <w:szCs w:val="28"/>
      <w:lang w:val="en-US"/>
    </w:rPr>
  </w:style>
  <w:style w:type="paragraph" w:styleId="TOC1">
    <w:name w:val="toc 1"/>
    <w:basedOn w:val="Normal"/>
    <w:next w:val="Normal"/>
    <w:autoRedefine/>
    <w:uiPriority w:val="39"/>
    <w:rsid w:val="00ED5C78"/>
  </w:style>
  <w:style w:type="paragraph" w:styleId="TOC2">
    <w:name w:val="toc 2"/>
    <w:basedOn w:val="Normal"/>
    <w:next w:val="Normal"/>
    <w:autoRedefine/>
    <w:uiPriority w:val="39"/>
    <w:rsid w:val="00ED5C78"/>
    <w:pPr>
      <w:ind w:left="280"/>
    </w:pPr>
  </w:style>
  <w:style w:type="paragraph" w:styleId="TOC3">
    <w:name w:val="toc 3"/>
    <w:basedOn w:val="Normal"/>
    <w:next w:val="Normal"/>
    <w:autoRedefine/>
    <w:uiPriority w:val="39"/>
    <w:rsid w:val="00ED5C78"/>
    <w:pPr>
      <w:ind w:left="560"/>
    </w:pPr>
  </w:style>
  <w:style w:type="paragraph" w:styleId="TOC4">
    <w:name w:val="toc 4"/>
    <w:basedOn w:val="Normal"/>
    <w:next w:val="Normal"/>
    <w:autoRedefine/>
    <w:uiPriority w:val="39"/>
    <w:rsid w:val="00ED5C78"/>
    <w:pPr>
      <w:ind w:left="840"/>
    </w:pPr>
  </w:style>
  <w:style w:type="character" w:customStyle="1" w:styleId="relative">
    <w:name w:val="relative"/>
    <w:rsid w:val="00ED5C78"/>
  </w:style>
  <w:style w:type="paragraph" w:customStyle="1" w:styleId="not-prose">
    <w:name w:val="not-prose"/>
    <w:basedOn w:val="Normal"/>
    <w:rsid w:val="00ED5C78"/>
    <w:pPr>
      <w:spacing w:before="100" w:beforeAutospacing="1" w:after="100" w:afterAutospacing="1"/>
    </w:pPr>
    <w:rPr>
      <w:sz w:val="24"/>
      <w:szCs w:val="24"/>
    </w:rPr>
  </w:style>
  <w:style w:type="character" w:customStyle="1" w:styleId="UnresolvedMention1">
    <w:name w:val="Unresolved Mention1"/>
    <w:uiPriority w:val="99"/>
    <w:semiHidden/>
    <w:unhideWhenUsed/>
    <w:rsid w:val="00ED5C78"/>
    <w:rPr>
      <w:color w:val="605E5C"/>
      <w:shd w:val="clear" w:color="auto" w:fill="E1DFDD"/>
    </w:rPr>
  </w:style>
  <w:style w:type="paragraph" w:styleId="Revision">
    <w:name w:val="Revision"/>
    <w:hidden/>
    <w:uiPriority w:val="99"/>
    <w:semiHidden/>
    <w:rsid w:val="00ED5C78"/>
    <w:rPr>
      <w:rFonts w:ascii="Times New Roman" w:eastAsia="Times New Roman" w:hAnsi="Times New Roman" w:cs="Times New Roman"/>
      <w:sz w:val="28"/>
      <w:szCs w:val="28"/>
      <w:lang w:val="en-US"/>
    </w:rPr>
  </w:style>
  <w:style w:type="paragraph" w:styleId="z-TopofForm">
    <w:name w:val="HTML Top of Form"/>
    <w:basedOn w:val="Normal"/>
    <w:next w:val="Normal"/>
    <w:link w:val="z-TopofFormChar"/>
    <w:hidden/>
    <w:uiPriority w:val="99"/>
    <w:unhideWhenUsed/>
    <w:rsid w:val="00ED5C78"/>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ED5C78"/>
    <w:rPr>
      <w:rFonts w:ascii="Arial" w:eastAsia="Times New Roman" w:hAnsi="Arial" w:cs="Arial"/>
      <w:vanish/>
      <w:sz w:val="16"/>
      <w:szCs w:val="16"/>
      <w:lang w:val="en-US"/>
    </w:rPr>
  </w:style>
  <w:style w:type="paragraph" w:styleId="z-BottomofForm">
    <w:name w:val="HTML Bottom of Form"/>
    <w:basedOn w:val="Normal"/>
    <w:next w:val="Normal"/>
    <w:link w:val="z-BottomofFormChar"/>
    <w:hidden/>
    <w:uiPriority w:val="99"/>
    <w:unhideWhenUsed/>
    <w:rsid w:val="00ED5C78"/>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ED5C78"/>
    <w:rPr>
      <w:rFonts w:ascii="Arial" w:eastAsia="Times New Roman" w:hAnsi="Arial" w:cs="Arial"/>
      <w:vanish/>
      <w:sz w:val="16"/>
      <w:szCs w:val="16"/>
      <w:lang w:val="en-US"/>
    </w:rPr>
  </w:style>
  <w:style w:type="character" w:styleId="CommentReference">
    <w:name w:val="annotation reference"/>
    <w:rsid w:val="00ED5C78"/>
    <w:rPr>
      <w:sz w:val="16"/>
      <w:szCs w:val="16"/>
    </w:rPr>
  </w:style>
  <w:style w:type="paragraph" w:styleId="CommentText">
    <w:name w:val="annotation text"/>
    <w:basedOn w:val="Normal"/>
    <w:link w:val="CommentTextChar"/>
    <w:rsid w:val="00ED5C78"/>
    <w:rPr>
      <w:sz w:val="20"/>
      <w:szCs w:val="20"/>
    </w:rPr>
  </w:style>
  <w:style w:type="character" w:customStyle="1" w:styleId="CommentTextChar">
    <w:name w:val="Comment Text Char"/>
    <w:basedOn w:val="DefaultParagraphFont"/>
    <w:link w:val="CommentText"/>
    <w:rsid w:val="00ED5C7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ED5C78"/>
    <w:rPr>
      <w:b/>
      <w:bCs/>
    </w:rPr>
  </w:style>
  <w:style w:type="character" w:customStyle="1" w:styleId="CommentSubjectChar">
    <w:name w:val="Comment Subject Char"/>
    <w:basedOn w:val="CommentTextChar"/>
    <w:link w:val="CommentSubject"/>
    <w:rsid w:val="00ED5C78"/>
    <w:rPr>
      <w:rFonts w:ascii="Times New Roman" w:eastAsia="Times New Roman" w:hAnsi="Times New Roman" w:cs="Times New Roman"/>
      <w:b/>
      <w:bCs/>
      <w:sz w:val="20"/>
      <w:szCs w:val="20"/>
      <w:lang w:val="en-US"/>
    </w:rPr>
  </w:style>
  <w:style w:type="paragraph" w:styleId="Title">
    <w:name w:val="Title"/>
    <w:basedOn w:val="Normal"/>
    <w:next w:val="Normal"/>
    <w:link w:val="TitleChar"/>
    <w:uiPriority w:val="10"/>
    <w:qFormat/>
    <w:rsid w:val="00ED5C78"/>
    <w:pPr>
      <w:spacing w:after="8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10"/>
    <w:rsid w:val="00ED5C78"/>
    <w:rPr>
      <w:rFonts w:ascii="Calibri Light" w:eastAsia="DengXian Light" w:hAnsi="Calibri Light" w:cs="Times New Roman"/>
      <w:spacing w:val="-10"/>
      <w:kern w:val="28"/>
      <w:sz w:val="56"/>
      <w:szCs w:val="56"/>
      <w:lang w:val="en-US"/>
    </w:rPr>
  </w:style>
  <w:style w:type="paragraph" w:styleId="Subtitle">
    <w:name w:val="Subtitle"/>
    <w:basedOn w:val="Normal"/>
    <w:next w:val="Normal"/>
    <w:link w:val="SubtitleChar"/>
    <w:uiPriority w:val="11"/>
    <w:qFormat/>
    <w:rsid w:val="00ED5C78"/>
    <w:pPr>
      <w:numPr>
        <w:ilvl w:val="1"/>
      </w:numPr>
      <w:spacing w:after="160"/>
    </w:pPr>
    <w:rPr>
      <w:rFonts w:ascii="Calibri" w:eastAsia="DengXian Light" w:hAnsi="Calibri"/>
      <w:color w:val="595959"/>
      <w:spacing w:val="15"/>
    </w:rPr>
  </w:style>
  <w:style w:type="character" w:customStyle="1" w:styleId="SubtitleChar">
    <w:name w:val="Subtitle Char"/>
    <w:basedOn w:val="DefaultParagraphFont"/>
    <w:link w:val="Subtitle"/>
    <w:uiPriority w:val="11"/>
    <w:rsid w:val="00ED5C78"/>
    <w:rPr>
      <w:rFonts w:ascii="Calibri" w:eastAsia="DengXian Light" w:hAnsi="Calibri" w:cs="Times New Roman"/>
      <w:color w:val="595959"/>
      <w:spacing w:val="15"/>
      <w:sz w:val="28"/>
      <w:szCs w:val="28"/>
      <w:lang w:val="en-US"/>
    </w:rPr>
  </w:style>
  <w:style w:type="paragraph" w:styleId="Quote">
    <w:name w:val="Quote"/>
    <w:basedOn w:val="Normal"/>
    <w:next w:val="Normal"/>
    <w:link w:val="QuoteChar"/>
    <w:uiPriority w:val="29"/>
    <w:qFormat/>
    <w:rsid w:val="00ED5C78"/>
    <w:pPr>
      <w:spacing w:before="160" w:after="160"/>
    </w:pPr>
    <w:rPr>
      <w:i/>
      <w:iCs/>
      <w:color w:val="404040"/>
    </w:rPr>
  </w:style>
  <w:style w:type="character" w:customStyle="1" w:styleId="QuoteChar">
    <w:name w:val="Quote Char"/>
    <w:basedOn w:val="DefaultParagraphFont"/>
    <w:link w:val="Quote"/>
    <w:uiPriority w:val="29"/>
    <w:rsid w:val="00ED5C78"/>
    <w:rPr>
      <w:rFonts w:ascii="Times New Roman" w:eastAsia="Times New Roman" w:hAnsi="Times New Roman" w:cs="Times New Roman"/>
      <w:i/>
      <w:iCs/>
      <w:color w:val="404040"/>
      <w:sz w:val="28"/>
      <w:szCs w:val="28"/>
      <w:lang w:val="en-US"/>
    </w:rPr>
  </w:style>
  <w:style w:type="character" w:styleId="IntenseEmphasis">
    <w:name w:val="Intense Emphasis"/>
    <w:uiPriority w:val="21"/>
    <w:qFormat/>
    <w:rsid w:val="00ED5C78"/>
    <w:rPr>
      <w:i/>
      <w:iCs/>
      <w:color w:val="2F5496"/>
    </w:rPr>
  </w:style>
  <w:style w:type="paragraph" w:styleId="IntenseQuote">
    <w:name w:val="Intense Quote"/>
    <w:basedOn w:val="Normal"/>
    <w:next w:val="Normal"/>
    <w:link w:val="IntenseQuoteChar"/>
    <w:uiPriority w:val="30"/>
    <w:qFormat/>
    <w:rsid w:val="00ED5C78"/>
    <w:pPr>
      <w:pBdr>
        <w:top w:val="single" w:sz="4" w:space="10" w:color="2F5496"/>
        <w:bottom w:val="single" w:sz="4" w:space="10" w:color="2F5496"/>
      </w:pBdr>
      <w:spacing w:before="360" w:after="360"/>
      <w:ind w:left="864" w:right="864"/>
    </w:pPr>
    <w:rPr>
      <w:i/>
      <w:iCs/>
      <w:color w:val="2F5496"/>
    </w:rPr>
  </w:style>
  <w:style w:type="character" w:customStyle="1" w:styleId="IntenseQuoteChar">
    <w:name w:val="Intense Quote Char"/>
    <w:basedOn w:val="DefaultParagraphFont"/>
    <w:link w:val="IntenseQuote"/>
    <w:uiPriority w:val="30"/>
    <w:rsid w:val="00ED5C78"/>
    <w:rPr>
      <w:rFonts w:ascii="Times New Roman" w:eastAsia="Times New Roman" w:hAnsi="Times New Roman" w:cs="Times New Roman"/>
      <w:i/>
      <w:iCs/>
      <w:color w:val="2F5496"/>
      <w:sz w:val="28"/>
      <w:szCs w:val="28"/>
      <w:lang w:val="en-US"/>
    </w:rPr>
  </w:style>
  <w:style w:type="character" w:styleId="IntenseReference">
    <w:name w:val="Intense Reference"/>
    <w:uiPriority w:val="32"/>
    <w:qFormat/>
    <w:rsid w:val="00ED5C78"/>
    <w:rPr>
      <w:b/>
      <w:bCs/>
      <w:smallCaps/>
      <w:color w:val="2F5496"/>
      <w:spacing w:val="5"/>
    </w:rPr>
  </w:style>
  <w:style w:type="paragraph" w:styleId="NoSpacing">
    <w:name w:val="No Spacing"/>
    <w:uiPriority w:val="1"/>
    <w:qFormat/>
    <w:rsid w:val="00826590"/>
    <w:rPr>
      <w:rFonts w:ascii="Times New Roman" w:eastAsia="Times New Roman" w:hAnsi="Times New Roman" w:cs="Times New Roman"/>
      <w:sz w:val="28"/>
      <w:szCs w:val="28"/>
      <w:lang w:val="en-US"/>
    </w:rPr>
  </w:style>
  <w:style w:type="paragraph" w:customStyle="1" w:styleId="FirstParagraph">
    <w:name w:val="First Paragraph"/>
    <w:basedOn w:val="BodyText"/>
    <w:next w:val="BodyText"/>
    <w:qFormat/>
    <w:rsid w:val="00AE09E6"/>
    <w:pPr>
      <w:spacing w:before="180" w:after="180"/>
    </w:pPr>
    <w:rPr>
      <w:rFonts w:asciiTheme="minorHAnsi" w:eastAsiaTheme="minorHAnsi" w:hAnsiTheme="minorHAnsi" w:cstheme="minorBidi"/>
      <w:i w:val="0"/>
      <w:iCs w:val="0"/>
      <w:sz w:val="24"/>
      <w:lang w:val="en-US" w:eastAsia="en-US"/>
    </w:rPr>
  </w:style>
  <w:style w:type="character" w:styleId="FollowedHyperlink">
    <w:name w:val="FollowedHyperlink"/>
    <w:basedOn w:val="DefaultParagraphFont"/>
    <w:uiPriority w:val="99"/>
    <w:semiHidden/>
    <w:unhideWhenUsed/>
    <w:rsid w:val="00CF556C"/>
    <w:rPr>
      <w:color w:val="954F72" w:themeColor="followedHyperlink"/>
      <w:u w:val="single"/>
    </w:rPr>
  </w:style>
  <w:style w:type="character" w:customStyle="1" w:styleId="ng-star-inserted">
    <w:name w:val="ng-star-inserted"/>
    <w:basedOn w:val="DefaultParagraphFont"/>
    <w:rsid w:val="00581F21"/>
  </w:style>
  <w:style w:type="character" w:customStyle="1" w:styleId="UnresolvedMention">
    <w:name w:val="Unresolved Mention"/>
    <w:basedOn w:val="DefaultParagraphFont"/>
    <w:uiPriority w:val="99"/>
    <w:semiHidden/>
    <w:unhideWhenUsed/>
    <w:rsid w:val="003E4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3962160">
      <w:bodyDiv w:val="1"/>
      <w:marLeft w:val="0"/>
      <w:marRight w:val="0"/>
      <w:marTop w:val="0"/>
      <w:marBottom w:val="0"/>
      <w:divBdr>
        <w:top w:val="none" w:sz="0" w:space="0" w:color="auto"/>
        <w:left w:val="none" w:sz="0" w:space="0" w:color="auto"/>
        <w:bottom w:val="none" w:sz="0" w:space="0" w:color="auto"/>
        <w:right w:val="none" w:sz="0" w:space="0" w:color="auto"/>
      </w:divBdr>
      <w:divsChild>
        <w:div w:id="1119178909">
          <w:marLeft w:val="0"/>
          <w:marRight w:val="0"/>
          <w:marTop w:val="0"/>
          <w:marBottom w:val="0"/>
          <w:divBdr>
            <w:top w:val="none" w:sz="0" w:space="0" w:color="auto"/>
            <w:left w:val="none" w:sz="0" w:space="0" w:color="auto"/>
            <w:bottom w:val="none" w:sz="0" w:space="0" w:color="auto"/>
            <w:right w:val="none" w:sz="0" w:space="0" w:color="auto"/>
          </w:divBdr>
        </w:div>
        <w:div w:id="1058360235">
          <w:marLeft w:val="0"/>
          <w:marRight w:val="0"/>
          <w:marTop w:val="0"/>
          <w:marBottom w:val="0"/>
          <w:divBdr>
            <w:top w:val="none" w:sz="0" w:space="0" w:color="auto"/>
            <w:left w:val="none" w:sz="0" w:space="0" w:color="auto"/>
            <w:bottom w:val="none" w:sz="0" w:space="0" w:color="auto"/>
            <w:right w:val="none" w:sz="0" w:space="0" w:color="auto"/>
          </w:divBdr>
        </w:div>
        <w:div w:id="2002855483">
          <w:marLeft w:val="0"/>
          <w:marRight w:val="0"/>
          <w:marTop w:val="0"/>
          <w:marBottom w:val="0"/>
          <w:divBdr>
            <w:top w:val="none" w:sz="0" w:space="0" w:color="auto"/>
            <w:left w:val="none" w:sz="0" w:space="0" w:color="auto"/>
            <w:bottom w:val="none" w:sz="0" w:space="0" w:color="auto"/>
            <w:right w:val="none" w:sz="0" w:space="0" w:color="auto"/>
          </w:divBdr>
        </w:div>
        <w:div w:id="925964349">
          <w:marLeft w:val="0"/>
          <w:marRight w:val="0"/>
          <w:marTop w:val="0"/>
          <w:marBottom w:val="0"/>
          <w:divBdr>
            <w:top w:val="none" w:sz="0" w:space="0" w:color="auto"/>
            <w:left w:val="none" w:sz="0" w:space="0" w:color="auto"/>
            <w:bottom w:val="none" w:sz="0" w:space="0" w:color="auto"/>
            <w:right w:val="none" w:sz="0" w:space="0" w:color="auto"/>
          </w:divBdr>
        </w:div>
        <w:div w:id="1902598553">
          <w:marLeft w:val="0"/>
          <w:marRight w:val="0"/>
          <w:marTop w:val="0"/>
          <w:marBottom w:val="0"/>
          <w:divBdr>
            <w:top w:val="none" w:sz="0" w:space="0" w:color="auto"/>
            <w:left w:val="none" w:sz="0" w:space="0" w:color="auto"/>
            <w:bottom w:val="none" w:sz="0" w:space="0" w:color="auto"/>
            <w:right w:val="none" w:sz="0" w:space="0" w:color="auto"/>
          </w:divBdr>
        </w:div>
      </w:divsChild>
    </w:div>
    <w:div w:id="1871724355">
      <w:bodyDiv w:val="1"/>
      <w:marLeft w:val="0"/>
      <w:marRight w:val="0"/>
      <w:marTop w:val="0"/>
      <w:marBottom w:val="0"/>
      <w:divBdr>
        <w:top w:val="none" w:sz="0" w:space="0" w:color="auto"/>
        <w:left w:val="none" w:sz="0" w:space="0" w:color="auto"/>
        <w:bottom w:val="none" w:sz="0" w:space="0" w:color="auto"/>
        <w:right w:val="none" w:sz="0" w:space="0" w:color="auto"/>
      </w:divBdr>
    </w:div>
    <w:div w:id="1973436478">
      <w:bodyDiv w:val="1"/>
      <w:marLeft w:val="0"/>
      <w:marRight w:val="0"/>
      <w:marTop w:val="0"/>
      <w:marBottom w:val="0"/>
      <w:divBdr>
        <w:top w:val="none" w:sz="0" w:space="0" w:color="auto"/>
        <w:left w:val="none" w:sz="0" w:space="0" w:color="auto"/>
        <w:bottom w:val="none" w:sz="0" w:space="0" w:color="auto"/>
        <w:right w:val="none" w:sz="0" w:space="0" w:color="auto"/>
      </w:divBdr>
    </w:div>
    <w:div w:id="2073037412">
      <w:bodyDiv w:val="1"/>
      <w:marLeft w:val="0"/>
      <w:marRight w:val="0"/>
      <w:marTop w:val="0"/>
      <w:marBottom w:val="0"/>
      <w:divBdr>
        <w:top w:val="none" w:sz="0" w:space="0" w:color="auto"/>
        <w:left w:val="none" w:sz="0" w:space="0" w:color="auto"/>
        <w:bottom w:val="none" w:sz="0" w:space="0" w:color="auto"/>
        <w:right w:val="none" w:sz="0" w:space="0" w:color="auto"/>
      </w:divBdr>
      <w:divsChild>
        <w:div w:id="1612130480">
          <w:marLeft w:val="0"/>
          <w:marRight w:val="0"/>
          <w:marTop w:val="0"/>
          <w:marBottom w:val="0"/>
          <w:divBdr>
            <w:top w:val="none" w:sz="0" w:space="0" w:color="auto"/>
            <w:left w:val="none" w:sz="0" w:space="0" w:color="auto"/>
            <w:bottom w:val="none" w:sz="0" w:space="0" w:color="auto"/>
            <w:right w:val="none" w:sz="0" w:space="0" w:color="auto"/>
          </w:divBdr>
        </w:div>
        <w:div w:id="2001419244">
          <w:marLeft w:val="0"/>
          <w:marRight w:val="0"/>
          <w:marTop w:val="0"/>
          <w:marBottom w:val="0"/>
          <w:divBdr>
            <w:top w:val="none" w:sz="0" w:space="0" w:color="auto"/>
            <w:left w:val="none" w:sz="0" w:space="0" w:color="auto"/>
            <w:bottom w:val="none" w:sz="0" w:space="0" w:color="auto"/>
            <w:right w:val="none" w:sz="0" w:space="0" w:color="auto"/>
          </w:divBdr>
        </w:div>
        <w:div w:id="1847401841">
          <w:marLeft w:val="0"/>
          <w:marRight w:val="0"/>
          <w:marTop w:val="0"/>
          <w:marBottom w:val="0"/>
          <w:divBdr>
            <w:top w:val="none" w:sz="0" w:space="0" w:color="auto"/>
            <w:left w:val="none" w:sz="0" w:space="0" w:color="auto"/>
            <w:bottom w:val="none" w:sz="0" w:space="0" w:color="auto"/>
            <w:right w:val="none" w:sz="0" w:space="0" w:color="auto"/>
          </w:divBdr>
        </w:div>
        <w:div w:id="106435793">
          <w:marLeft w:val="0"/>
          <w:marRight w:val="0"/>
          <w:marTop w:val="0"/>
          <w:marBottom w:val="0"/>
          <w:divBdr>
            <w:top w:val="none" w:sz="0" w:space="0" w:color="auto"/>
            <w:left w:val="none" w:sz="0" w:space="0" w:color="auto"/>
            <w:bottom w:val="none" w:sz="0" w:space="0" w:color="auto"/>
            <w:right w:val="none" w:sz="0" w:space="0" w:color="auto"/>
          </w:divBdr>
        </w:div>
        <w:div w:id="476073880">
          <w:marLeft w:val="0"/>
          <w:marRight w:val="0"/>
          <w:marTop w:val="0"/>
          <w:marBottom w:val="0"/>
          <w:divBdr>
            <w:top w:val="none" w:sz="0" w:space="0" w:color="auto"/>
            <w:left w:val="none" w:sz="0" w:space="0" w:color="auto"/>
            <w:bottom w:val="none" w:sz="0" w:space="0" w:color="auto"/>
            <w:right w:val="none" w:sz="0" w:space="0" w:color="auto"/>
          </w:divBdr>
        </w:div>
        <w:div w:id="721951838">
          <w:marLeft w:val="0"/>
          <w:marRight w:val="0"/>
          <w:marTop w:val="0"/>
          <w:marBottom w:val="0"/>
          <w:divBdr>
            <w:top w:val="none" w:sz="0" w:space="0" w:color="auto"/>
            <w:left w:val="none" w:sz="0" w:space="0" w:color="auto"/>
            <w:bottom w:val="none" w:sz="0" w:space="0" w:color="auto"/>
            <w:right w:val="none" w:sz="0" w:space="0" w:color="auto"/>
          </w:divBdr>
        </w:div>
        <w:div w:id="1216045632">
          <w:marLeft w:val="0"/>
          <w:marRight w:val="0"/>
          <w:marTop w:val="0"/>
          <w:marBottom w:val="0"/>
          <w:divBdr>
            <w:top w:val="none" w:sz="0" w:space="0" w:color="auto"/>
            <w:left w:val="none" w:sz="0" w:space="0" w:color="auto"/>
            <w:bottom w:val="none" w:sz="0" w:space="0" w:color="auto"/>
            <w:right w:val="none" w:sz="0" w:space="0" w:color="auto"/>
          </w:divBdr>
        </w:div>
        <w:div w:id="1511289577">
          <w:marLeft w:val="0"/>
          <w:marRight w:val="0"/>
          <w:marTop w:val="0"/>
          <w:marBottom w:val="0"/>
          <w:divBdr>
            <w:top w:val="none" w:sz="0" w:space="0" w:color="auto"/>
            <w:left w:val="none" w:sz="0" w:space="0" w:color="auto"/>
            <w:bottom w:val="none" w:sz="0" w:space="0" w:color="auto"/>
            <w:right w:val="none" w:sz="0" w:space="0" w:color="auto"/>
          </w:divBdr>
        </w:div>
        <w:div w:id="2061132085">
          <w:marLeft w:val="0"/>
          <w:marRight w:val="0"/>
          <w:marTop w:val="0"/>
          <w:marBottom w:val="0"/>
          <w:divBdr>
            <w:top w:val="none" w:sz="0" w:space="0" w:color="auto"/>
            <w:left w:val="none" w:sz="0" w:space="0" w:color="auto"/>
            <w:bottom w:val="none" w:sz="0" w:space="0" w:color="auto"/>
            <w:right w:val="none" w:sz="0" w:space="0" w:color="auto"/>
          </w:divBdr>
        </w:div>
        <w:div w:id="1640307669">
          <w:marLeft w:val="0"/>
          <w:marRight w:val="0"/>
          <w:marTop w:val="0"/>
          <w:marBottom w:val="0"/>
          <w:divBdr>
            <w:top w:val="none" w:sz="0" w:space="0" w:color="auto"/>
            <w:left w:val="none" w:sz="0" w:space="0" w:color="auto"/>
            <w:bottom w:val="none" w:sz="0" w:space="0" w:color="auto"/>
            <w:right w:val="none" w:sz="0" w:space="0" w:color="auto"/>
          </w:divBdr>
        </w:div>
        <w:div w:id="1211302075">
          <w:marLeft w:val="0"/>
          <w:marRight w:val="0"/>
          <w:marTop w:val="0"/>
          <w:marBottom w:val="0"/>
          <w:divBdr>
            <w:top w:val="none" w:sz="0" w:space="0" w:color="auto"/>
            <w:left w:val="none" w:sz="0" w:space="0" w:color="auto"/>
            <w:bottom w:val="none" w:sz="0" w:space="0" w:color="auto"/>
            <w:right w:val="none" w:sz="0" w:space="0" w:color="auto"/>
          </w:divBdr>
        </w:div>
        <w:div w:id="506604661">
          <w:marLeft w:val="0"/>
          <w:marRight w:val="0"/>
          <w:marTop w:val="0"/>
          <w:marBottom w:val="0"/>
          <w:divBdr>
            <w:top w:val="none" w:sz="0" w:space="0" w:color="auto"/>
            <w:left w:val="none" w:sz="0" w:space="0" w:color="auto"/>
            <w:bottom w:val="none" w:sz="0" w:space="0" w:color="auto"/>
            <w:right w:val="none" w:sz="0" w:space="0" w:color="auto"/>
          </w:divBdr>
        </w:div>
        <w:div w:id="650404935">
          <w:marLeft w:val="0"/>
          <w:marRight w:val="0"/>
          <w:marTop w:val="0"/>
          <w:marBottom w:val="0"/>
          <w:divBdr>
            <w:top w:val="none" w:sz="0" w:space="0" w:color="auto"/>
            <w:left w:val="none" w:sz="0" w:space="0" w:color="auto"/>
            <w:bottom w:val="none" w:sz="0" w:space="0" w:color="auto"/>
            <w:right w:val="none" w:sz="0" w:space="0" w:color="auto"/>
          </w:divBdr>
        </w:div>
        <w:div w:id="623199490">
          <w:marLeft w:val="0"/>
          <w:marRight w:val="0"/>
          <w:marTop w:val="0"/>
          <w:marBottom w:val="0"/>
          <w:divBdr>
            <w:top w:val="none" w:sz="0" w:space="0" w:color="auto"/>
            <w:left w:val="none" w:sz="0" w:space="0" w:color="auto"/>
            <w:bottom w:val="none" w:sz="0" w:space="0" w:color="auto"/>
            <w:right w:val="none" w:sz="0" w:space="0" w:color="auto"/>
          </w:divBdr>
        </w:div>
        <w:div w:id="1923097671">
          <w:marLeft w:val="0"/>
          <w:marRight w:val="0"/>
          <w:marTop w:val="0"/>
          <w:marBottom w:val="0"/>
          <w:divBdr>
            <w:top w:val="none" w:sz="0" w:space="0" w:color="auto"/>
            <w:left w:val="none" w:sz="0" w:space="0" w:color="auto"/>
            <w:bottom w:val="none" w:sz="0" w:space="0" w:color="auto"/>
            <w:right w:val="none" w:sz="0" w:space="0" w:color="auto"/>
          </w:divBdr>
        </w:div>
        <w:div w:id="1316646982">
          <w:marLeft w:val="0"/>
          <w:marRight w:val="0"/>
          <w:marTop w:val="0"/>
          <w:marBottom w:val="0"/>
          <w:divBdr>
            <w:top w:val="none" w:sz="0" w:space="0" w:color="auto"/>
            <w:left w:val="none" w:sz="0" w:space="0" w:color="auto"/>
            <w:bottom w:val="none" w:sz="0" w:space="0" w:color="auto"/>
            <w:right w:val="none" w:sz="0" w:space="0" w:color="auto"/>
          </w:divBdr>
        </w:div>
        <w:div w:id="1734348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oitre.vn/hang-kem-chat-luong.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Bo-may-hanh-chinh/Luat-to-chuc-chinh-quyen-dia-phuong-2015-282380.aspx" TargetMode="External"/><Relationship Id="rId4" Type="http://schemas.openxmlformats.org/officeDocument/2006/relationships/settings" Target="settings.xml"/><Relationship Id="rId9" Type="http://schemas.openxmlformats.org/officeDocument/2006/relationships/hyperlink" Target="https://thuvienphapluat.vn/van-ban/Bo-may-hanh-chinh/Luat-To-chuc-Quoc-hoi-2014-259784.asp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thuonghieucongluan.com.vn/hang-gia-vet-seo-toan-cau-de-doa-kinh-te-va-niem-tin-nguoi-tieu-dung-a266309.html" TargetMode="External"/><Relationship Id="rId13" Type="http://schemas.openxmlformats.org/officeDocument/2006/relationships/hyperlink" Target="https://www.law.cornell.edu/definitions/uscode.php?width=840&amp;height=800&amp;iframe=true&amp;def_id=15-USC-1854677466-1913738695&amp;term_occur=5&amp;term_src=title:15:chapter:22:subchapter:III:section:1116" TargetMode="External"/><Relationship Id="rId3" Type="http://schemas.openxmlformats.org/officeDocument/2006/relationships/hyperlink" Target="https://www.myjournalcourier.com/opinion/article/counterfeiters-benefit-tariff-economy-20327538.php" TargetMode="External"/><Relationship Id="rId7" Type="http://schemas.openxmlformats.org/officeDocument/2006/relationships/hyperlink" Target="https://thuonghieucongluan.com.vn/hang-gia-vet-seo-toan-cau-de-doa-kinh-te-va-niem-tin-nguoi-tieu-dung-a266309.html" TargetMode="External"/><Relationship Id="rId12" Type="http://schemas.openxmlformats.org/officeDocument/2006/relationships/hyperlink" Target="https://eur-lex.europa.eu/EN/legal-content/summary/goods-infringing-intellectual-property-rights.html" TargetMode="External"/><Relationship Id="rId2" Type="http://schemas.openxmlformats.org/officeDocument/2006/relationships/hyperlink" Target="https://www.who.int/news-room/fact-sheets/detail/substandard-and-falsified-medical-products?utm_source=chatgpt.com" TargetMode="External"/><Relationship Id="rId16" Type="http://schemas.openxmlformats.org/officeDocument/2006/relationships/hyperlink" Target="https://www.bundeskartellamt.de/SharedDocs/Entscheidung/EN/Entscheidungen/Kartellverbot/B9-121-13.pdf?__blob=publicationFile&amp;v=2" TargetMode="External"/><Relationship Id="rId1" Type="http://schemas.openxmlformats.org/officeDocument/2006/relationships/hyperlink" Target="http://online.gov.vn/Huong-Dan/HUONG-DAN-UBND-TINH-THUC-HIEN-NGHIEP-VU-THU-TUC-HANH-CHINH-THUONG-MAI-DIEN-TU-decp4zUlrd" TargetMode="External"/><Relationship Id="rId6" Type="http://schemas.openxmlformats.org/officeDocument/2006/relationships/hyperlink" Target="https://baolangson.vn/tong-ket-dot-cao-diem-dau-tranh-chong-buon-lau-gian-lan-thuong-mai-va-hang-gia-5050955.html" TargetMode="External"/><Relationship Id="rId11" Type="http://schemas.openxmlformats.org/officeDocument/2006/relationships/hyperlink" Target="https://vi.wikipedia.org/wiki/N%C6%B0%E1%BB%9Bc_%C4%91ang_ph%C3%A1t_tri%E1%BB%83n" TargetMode="External"/><Relationship Id="rId5" Type="http://schemas.openxmlformats.org/officeDocument/2006/relationships/hyperlink" Target="https://thoibaotaichinhvietnam.vn/10696-vu-san-xuat-mua-ban-hang-gia-bi-phat-hien-trong-2-nam-176338.html" TargetMode="External"/><Relationship Id="rId15" Type="http://schemas.openxmlformats.org/officeDocument/2006/relationships/hyperlink" Target="https://competition-cases.ec.europa.eu/cases/AT.40462" TargetMode="External"/><Relationship Id="rId10" Type="http://schemas.openxmlformats.org/officeDocument/2006/relationships/hyperlink" Target="https://vi.wikipedia.org/wiki/Trung_Qu%E1%BB%91c" TargetMode="External"/><Relationship Id="rId4" Type="http://schemas.openxmlformats.org/officeDocument/2006/relationships/hyperlink" Target="https://world-border-congress.com/counterfeit-and-substandard-food-worth-eur-95-million-seized-in-global-operation/" TargetMode="External"/><Relationship Id="rId9" Type="http://schemas.openxmlformats.org/officeDocument/2006/relationships/hyperlink" Target="https://vi.wikipedia.org/wiki/Chi%E1%BA%BFn_l%C6%B0%E1%BB%A3c_kinh_doanh" TargetMode="External"/><Relationship Id="rId14" Type="http://schemas.openxmlformats.org/officeDocument/2006/relationships/hyperlink" Target="https://eur-lex.europa.eu/legal-content/EN/TXT/?uri=oj:JOC_2022_024_R_0031"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G:\.shortcut-targets-by-id\1bAcRfslAVEGOVgCTHo9_bq63ej3YZgDi\T&#244;i%20l&#224;%20TKT\Hieu\Bao%20cao%20thuong%20nien%20MA\Bieu%20do%20kiem%20soat%20TTKT%20-%20VCC%20-%205%20n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'Lĩnh vực'!$I$67</c:f>
              <c:strCache>
                <c:ptCount val="1"/>
                <c:pt idx="0">
                  <c:v>Bất động sản</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'Lĩnh vực'!$H$68:$H$72</c:f>
              <c:numCache>
                <c:formatCode>General</c:formatCode>
                <c:ptCount val="5"/>
                <c:pt idx="0">
                  <c:v>2020</c:v>
                </c:pt>
                <c:pt idx="1">
                  <c:v>2021</c:v>
                </c:pt>
                <c:pt idx="2">
                  <c:v>2022</c:v>
                </c:pt>
                <c:pt idx="3">
                  <c:v>2023</c:v>
                </c:pt>
                <c:pt idx="4">
                  <c:v>2024</c:v>
                </c:pt>
              </c:numCache>
            </c:numRef>
          </c:cat>
          <c:val>
            <c:numRef>
              <c:f>'Lĩnh vực'!$I$68:$I$72</c:f>
              <c:numCache>
                <c:formatCode>General</c:formatCode>
                <c:ptCount val="5"/>
                <c:pt idx="0">
                  <c:v>15</c:v>
                </c:pt>
                <c:pt idx="1">
                  <c:v>30</c:v>
                </c:pt>
                <c:pt idx="2">
                  <c:v>14</c:v>
                </c:pt>
                <c:pt idx="3">
                  <c:v>39</c:v>
                </c:pt>
                <c:pt idx="4">
                  <c:v>35</c:v>
                </c:pt>
              </c:numCache>
            </c:numRef>
          </c:val>
          <c:extLst>
            <c:ext xmlns:c16="http://schemas.microsoft.com/office/drawing/2014/chart" uri="{C3380CC4-5D6E-409C-BE32-E72D297353CC}">
              <c16:uniqueId val="{00000000-C87D-1149-A108-659C47FF3DEA}"/>
            </c:ext>
          </c:extLst>
        </c:ser>
        <c:ser>
          <c:idx val="1"/>
          <c:order val="1"/>
          <c:tx>
            <c:strRef>
              <c:f>'Lĩnh vực'!$J$67</c:f>
              <c:strCache>
                <c:ptCount val="1"/>
                <c:pt idx="0">
                  <c:v>Công nghiệp</c:v>
                </c:pt>
              </c:strCache>
            </c:strRef>
          </c:tx>
          <c:spPr>
            <a:solidFill>
              <a:schemeClr val="accent5">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'Lĩnh vực'!$H$68:$H$72</c:f>
              <c:numCache>
                <c:formatCode>General</c:formatCode>
                <c:ptCount val="5"/>
                <c:pt idx="0">
                  <c:v>2020</c:v>
                </c:pt>
                <c:pt idx="1">
                  <c:v>2021</c:v>
                </c:pt>
                <c:pt idx="2">
                  <c:v>2022</c:v>
                </c:pt>
                <c:pt idx="3">
                  <c:v>2023</c:v>
                </c:pt>
                <c:pt idx="4">
                  <c:v>2024</c:v>
                </c:pt>
              </c:numCache>
            </c:numRef>
          </c:cat>
          <c:val>
            <c:numRef>
              <c:f>'Lĩnh vực'!$J$68:$J$72</c:f>
              <c:numCache>
                <c:formatCode>General</c:formatCode>
                <c:ptCount val="5"/>
                <c:pt idx="0">
                  <c:v>9</c:v>
                </c:pt>
                <c:pt idx="1">
                  <c:v>25</c:v>
                </c:pt>
                <c:pt idx="2">
                  <c:v>36</c:v>
                </c:pt>
                <c:pt idx="3">
                  <c:v>37</c:v>
                </c:pt>
                <c:pt idx="4">
                  <c:v>37</c:v>
                </c:pt>
              </c:numCache>
            </c:numRef>
          </c:val>
          <c:extLst>
            <c:ext xmlns:c16="http://schemas.microsoft.com/office/drawing/2014/chart" uri="{C3380CC4-5D6E-409C-BE32-E72D297353CC}">
              <c16:uniqueId val="{00000001-C87D-1149-A108-659C47FF3DEA}"/>
            </c:ext>
          </c:extLst>
        </c:ser>
        <c:ser>
          <c:idx val="2"/>
          <c:order val="2"/>
          <c:tx>
            <c:strRef>
              <c:f>'Lĩnh vực'!$K$67</c:f>
              <c:strCache>
                <c:ptCount val="1"/>
                <c:pt idx="0">
                  <c:v>Dịch vụ</c:v>
                </c:pt>
              </c:strCache>
            </c:strRef>
          </c:tx>
          <c:spPr>
            <a:solidFill>
              <a:srgbClr val="C0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'Lĩnh vực'!$H$68:$H$72</c:f>
              <c:numCache>
                <c:formatCode>General</c:formatCode>
                <c:ptCount val="5"/>
                <c:pt idx="0">
                  <c:v>2020</c:v>
                </c:pt>
                <c:pt idx="1">
                  <c:v>2021</c:v>
                </c:pt>
                <c:pt idx="2">
                  <c:v>2022</c:v>
                </c:pt>
                <c:pt idx="3">
                  <c:v>2023</c:v>
                </c:pt>
                <c:pt idx="4">
                  <c:v>2024</c:v>
                </c:pt>
              </c:numCache>
            </c:numRef>
          </c:cat>
          <c:val>
            <c:numRef>
              <c:f>'Lĩnh vực'!$K$68:$K$72</c:f>
              <c:numCache>
                <c:formatCode>General</c:formatCode>
                <c:ptCount val="5"/>
                <c:pt idx="0">
                  <c:v>8</c:v>
                </c:pt>
                <c:pt idx="1">
                  <c:v>22</c:v>
                </c:pt>
                <c:pt idx="2">
                  <c:v>33</c:v>
                </c:pt>
                <c:pt idx="3">
                  <c:v>42</c:v>
                </c:pt>
                <c:pt idx="4">
                  <c:v>28</c:v>
                </c:pt>
              </c:numCache>
            </c:numRef>
          </c:val>
          <c:extLst>
            <c:ext xmlns:c16="http://schemas.microsoft.com/office/drawing/2014/chart" uri="{C3380CC4-5D6E-409C-BE32-E72D297353CC}">
              <c16:uniqueId val="{00000002-C87D-1149-A108-659C47FF3DEA}"/>
            </c:ext>
          </c:extLst>
        </c:ser>
        <c:ser>
          <c:idx val="3"/>
          <c:order val="3"/>
          <c:tx>
            <c:strRef>
              <c:f>'Lĩnh vực'!$L$67</c:f>
              <c:strCache>
                <c:ptCount val="1"/>
                <c:pt idx="0">
                  <c:v>Năng lượng và khoáng sản</c:v>
                </c:pt>
              </c:strCache>
            </c:strRef>
          </c:tx>
          <c:spPr>
            <a:solidFill>
              <a:schemeClr val="accent4">
                <a:lumMod val="40000"/>
                <a:lumOff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'Lĩnh vực'!$H$68:$H$72</c:f>
              <c:numCache>
                <c:formatCode>General</c:formatCode>
                <c:ptCount val="5"/>
                <c:pt idx="0">
                  <c:v>2020</c:v>
                </c:pt>
                <c:pt idx="1">
                  <c:v>2021</c:v>
                </c:pt>
                <c:pt idx="2">
                  <c:v>2022</c:v>
                </c:pt>
                <c:pt idx="3">
                  <c:v>2023</c:v>
                </c:pt>
                <c:pt idx="4">
                  <c:v>2024</c:v>
                </c:pt>
              </c:numCache>
            </c:numRef>
          </c:cat>
          <c:val>
            <c:numRef>
              <c:f>'Lĩnh vực'!$L$68:$L$72</c:f>
              <c:numCache>
                <c:formatCode>General</c:formatCode>
                <c:ptCount val="5"/>
                <c:pt idx="0">
                  <c:v>2</c:v>
                </c:pt>
                <c:pt idx="1">
                  <c:v>15</c:v>
                </c:pt>
                <c:pt idx="2">
                  <c:v>18</c:v>
                </c:pt>
                <c:pt idx="3">
                  <c:v>16</c:v>
                </c:pt>
                <c:pt idx="4">
                  <c:v>31</c:v>
                </c:pt>
              </c:numCache>
            </c:numRef>
          </c:val>
          <c:extLst>
            <c:ext xmlns:c16="http://schemas.microsoft.com/office/drawing/2014/chart" uri="{C3380CC4-5D6E-409C-BE32-E72D297353CC}">
              <c16:uniqueId val="{00000003-C87D-1149-A108-659C47FF3DEA}"/>
            </c:ext>
          </c:extLst>
        </c:ser>
        <c:dLbls>
          <c:showLegendKey val="0"/>
          <c:showVal val="0"/>
          <c:showCatName val="0"/>
          <c:showSerName val="0"/>
          <c:showPercent val="0"/>
          <c:showBubbleSize val="0"/>
        </c:dLbls>
        <c:gapWidth val="219"/>
        <c:overlap val="-27"/>
        <c:axId val="608656304"/>
        <c:axId val="608654384"/>
      </c:barChart>
      <c:catAx>
        <c:axId val="6086563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8654384"/>
        <c:crosses val="autoZero"/>
        <c:auto val="1"/>
        <c:lblAlgn val="ctr"/>
        <c:lblOffset val="100"/>
        <c:noMultiLvlLbl val="0"/>
      </c:catAx>
      <c:valAx>
        <c:axId val="608654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08656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5EA46-53A8-459C-B66E-F41D1FDF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62601</Words>
  <Characters>356827</Characters>
  <Application>Microsoft Office Word</Application>
  <DocSecurity>0</DocSecurity>
  <Lines>2973</Lines>
  <Paragraphs>837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Nguyen</dc:creator>
  <cp:keywords/>
  <dc:description/>
  <cp:lastModifiedBy>Anh (Nguyen Ngoc Anh)</cp:lastModifiedBy>
  <cp:revision>6</cp:revision>
  <cp:lastPrinted>2026-02-13T06:39:00Z</cp:lastPrinted>
  <dcterms:created xsi:type="dcterms:W3CDTF">2026-02-13T06:03:00Z</dcterms:created>
  <dcterms:modified xsi:type="dcterms:W3CDTF">2026-02-23T08:09:00Z</dcterms:modified>
</cp:coreProperties>
</file>